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Commit 6096741 plus the refined invitation context and verified delivery behavior under review (2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v2.59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 reset; a unique pr_ token digest on each exact reset row;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name, and one-time delivery value, then records the invitation outcome.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with select_for_update, repeats the unused and expiry checks, enforces User.may_hold_password, writes the password and consumes the row in one transaction. Reset and invitation tokens use different prefixes and salts. Every reset still answers silently on an unknown, out-of-scope or ineligible account and uses separate self-service and admin windows. Dispatch is queued through queue_password_reset_email after the issuing transaction commits. Queued from inside it, the job carried a reset id the database had not published: a worker that started first found no row, logged it and returned, and the person who asked for the link had already been told the request succeeded.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two concurrent confirmations produce one password write and one RESET_KEY_INVALID. Migration 0010 consumes legacy reset rows because the old schema could not safely bind an old URL to one row. EmailQueuedOnlyAfterCommitTests proves the job is registered but not sent while the row is uncommitted, that a rolled-back request queues nothing, and that a broker or SMTP failure after the commit leaves the reset row standing rather than breaking the request.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tenant and branch narrowed.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for the current standard copy and retains the earlier keys for customized-template compatibility. Notification records retain a marker rather than the raw one-time credential; the delivery worker substitutes it only in memory before SMTP. Delivery signals update invitations by invitation id. Both mails are queued on commit, so the engine never renders a row that is not yet visible.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341 tests and passed in full. The focused invitation delivery tests also passed, alongside the 114-test Module 8 suite covering the standard copy, HTML action, plain-text URL, one-time-secret boundary, and staff-authored migration guard.</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v2.59 records Module 3 as Identity, Team &amp; Organogram, Phase V1, Backend Partial, In use Complete, code ownership vs_user, with sixteen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Request-bound 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v2.59 lists Module 3 as Backend Partial and In use Complete with sixteen capabilities. The invitation refinement improves one existing capability and does not change the count. Partial remains correct because privileged MFA and the tenant lifecycle identity effect are still absent.</w:t>
              <w:br/>
              <w:t>• The current invitation context, plain-text and HTML delivery parity, one-time secret boundary, and migration behavior agree across Identity FRD v1.7 and Notifications FRD v1.6.</w:t>
              <w:br/>
              <w:t>• Backend evidence only. Neither document claims frontend delivery, deployment, production adoption, or data migration completion.</w:t>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p>
            <w:pPr>
              <w:keepNext/>
              <w:spacing w:after="0" w:before="0" w:line="240" w:lineRule="auto"/>
              <w:jc w:val="left"/>
            </w:pPr>
            <w:r>
              <w:rPr>
                <w:rFonts w:ascii="Aptos Narrow" w:hAnsi="Aptos Narrow"/>
                <w:b w:val="0"/>
                <w:color w:val="000000"/>
                <w:sz w:val="16"/>
              </w:rPr>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