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1.6</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1.6</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2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Commit 6096741 plus the refined standard user invitation, migration 0013, and passing Module 8 and Module 3 suites (2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v2.59 | Module 8</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vs_health,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for that tenant, renders the message for each recipient, writes the in-app record, queues the email, and keeps the outcome. Standard email renders use one polished, email-client-safe layout and resolve the displayed sender from the issuer, entity, or tenant at delivery time. The standard user invitation now names the inviter and workspace, shows expiry and one-time use, and retains the secure URL for plain-text delivery while HTML presents the shared action treatment. Transactional operational alarms such as a Module 30 health incident bypass preferences and use both email and in-app. Templates and ordinary rendered content remain visible to administrators. A one-time invitation or reset credential is the deliberate exception: history stores an inert marker and only the delivery worker sees the raw value. Queue tracking remains complete, while the bell is reserved for outcomes a person is waiting to use or act on.</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One shared, email-client-safe layout that composes the visual from the message text, resolves tenant-aware sender branding at delivery, and allows a per-template override to replace it.</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platform.health.manage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 tenant that mutes a channel silences it for its own people and for nobody else's. Building the matrix costs two queries regardless of event count.</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For a one-time invitation or reset credential, the caller supplies a marker in the rendered URL plus an ephemeral delivery replacement: the Notification row stores the marker, and the delivery worker substitutes the raw token only in memory before SMTP. The URL stays in the plain-text invitation, while the standard HTML removes the duplicate body line and uses it for the button and fallback link.</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NotificationSecretDeliveryTests proves a one-time secret is absent from stored body, HTML and metadata while the SMTP plain and HTML parts contain the working value.</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The exact 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A template carries a flag saying who maintains its markup. While it is false the markup is regenerated from the shared layout on every save; the first hand edit sets it, after which the markup is kept verbatim. Clearing it restores the standard design. Standard markup carries a domain-neutral email_brand placeholder which resolves from issuer, entity, or tenant context at delivery, with CodeX Vision as fallback. Migration 0012 refreshed every standard email onto that layout. Migration 0013 updates the user.invited subject, body, action, and markup only when html_is_custom is false.</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Changing the message of a standard template changes its markup. Changing the message of a hand-edited one does not. Saving regenerated standard markup back is not treated as a hand edit. A tenant-branded message renders that name while a context with no issuer, entity, or tenant renders CodeX Vision. Applying either design migration changes only rows whose html_is_custom flag is false. A customized invitation keeps its subject, body, action, and HTML verbatim.</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HTML path renders with escaping on: the markup is trusted because staff wrote it, the values substituted into it are not. Subject and plain-text bodies render with escaping off, because escaping there would put entities in front of a reader.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A context value containing a script tag appears escaped in the delivered HTML and is not executable. This holds for hand-written markup as well, because the rule is in the render rather than in the layout.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Preview renders through the same path dispatch uses and needs no payload: sample values are generated from the placeholders the template itself uses. It also accepts unsaved editor content, so the console re-renders as an author types, and returns the markup alongside the rendered copy.</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A preview of any active template returns a complete HTML document. Preview writes nothing: no record is created and no mail is sent. Supplying context overrides the generated samples for those keys only.</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The feed is ordered unread first, then newest first within each group. The read-state filter narrows to one group for the console's tabs, and the unread count drives the badge.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An unfiltered feed returns unread records before read ones. The order is covered by the existing recipient, channel, read-state and time index.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platform.health.manage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Owner row, then platform row, then the event default, once per owning tenant. Transactional events skip this.</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Mark read what the visited destination covers.</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while retaining the earlier context keys for staff-authored template compatibility. Invitation and reset callers pass a stored marker plus the raw one-time replacement for delivery only; email-only invitation recipients remain supported.</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platform.health.manage recipients, and supplies alert and incident correlation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Records every Celery job and applies the default importance policy before raising task.completed or task.failed.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 MESSAGE NOW BELONGS TO THE PERSON WHO READS IT</w:t>
            </w:r>
          </w:p>
          <w:p w14:paraId="7DFD61F2" w14:textId="77777777" w:rsidR="00A62A3E" w:rsidRDefault="00000000">
            <w:pPr>
              <w:keepNext/>
              <w:spacing w:after="40"/>
            </w:pPr>
            <w:r>
              <w:rPr>
                <w:b/>
                <w:color w:val="94670A"/>
                <w:sz w:val="17"/>
              </w:rPr>
              <w:t>• A record was stamped with the tenant the event was about rather than the tenant of the person receiving it. A support ticket raised by a school and dispatched to platform triage staff produced records owned by the school, so the staff member's own feed filtered them out and the in-app channel was dead for every ticket event.</w:t>
            </w:r>
          </w:p>
          <w:p w14:paraId="7DFD61F2" w14:textId="77777777" w:rsidR="00A62A3E" w:rsidRDefault="00000000">
            <w:pPr>
              <w:keepNext/>
              <w:spacing w:after="40"/>
            </w:pPr>
            <w:r>
              <w:rPr>
                <w:b/>
                <w:color w:val="94670A"/>
                <w:sz w:val="17"/>
              </w:rPr>
              <w:t>• Those same rows were returned by that school's delivery history, so an administrator holding the history key could read the subject and body of a message addressed to platform staff, including the text of an internal ticket note. Ownership now follows the recipient, the originating tenant is recorded separately and exposed nowhere,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br/>
              <w:t>• A hand-edited template stops inheriting design changes until it is reset to the standard layout.</w:t>
              <w:br/>
              <w:t>• Delivery preferences are per tenant.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p w14:paraId="1EDC1ED2" w14:textId="77777777" w:rsidR="00A62A3E" w:rsidRDefault="00000000">
            <w:pPr>
              <w:keepNext/>
              <w:spacing w:after="40"/>
            </w:pPr>
            <w:r>
              <w:rPr>
                <w:b/>
                <w:color w:val="94670A"/>
                <w:sz w:val="17"/>
              </w:rPr>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v2.59.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 FR-006</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FR-012, FR-015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1.4</cp:version>
  <dc:title>XVS M08 Notifications and Delivery Functional Requirements Document v1.4</dc:title>
</cp:coreProperties>
</file>