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refining the user invitation email across Modules 3 and 8. The message now names the inviter and tenant workspace, makes the seven-day expiry and one-time use explicit, keeps the secure URL in plain text, and renders one clear HTML action. Migration 0013 refreshes only the standard invitation template; staff-authored content remains unchanged.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v2.59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 trust-first invitation with plain-text and HTML parity</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The invitation now names the inviter and tenant workspace, states the seven-day expiry and one-time use, and keeps the secure link available in plain text as well as the HTML action.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Standard email templates resolve issuer, entity, or tenant branding at render time and use one polished, email-client-safe layout. The user invitation is the first purpose-specific refinement: it names the inviter and workspace, explains the expiry and one-time link, and keeps plain-text and HTML delivery usable. Migrations refresh platform-maintained markup while preserving every staff-authored override.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v2.59 Capability Delta</w:t>
      </w:r>
    </w:p>
    <w:p w14:paraId="4C4A5E5A" w14:textId="77777777" w:rsidR="00472341" w:rsidRDefault="00000000">
      <w:pPr>
        <w:spacing w:after="100" w:line="240" w:lineRule="auto" w:before="0"/>
      </w:pPr>
      <w:r>
        <w:rPr>
          <w:rFonts w:ascii="Aptos Narrow" w:hAnsi="Aptos Narrow"/>
          <w:b w:val="0"/>
          <w:color w:val="000000"/>
          <w:sz w:val="18"/>
        </w:rPr>
        <w:t>This revision improves the existing invitation capabilities shared by Modules 3 and 8 rather than adding a new one. A recipient can now see who invited them, which tenant workspace they are joining, when the link expires, and that it is single-use before choosing the action. Plain-text recipients keep the secure URL, while HTML recipients get one button and one fallback link.</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v2.59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Trust-first user invitation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Clarify the invitation without weakening one-time-link delivery</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user.invited now uses tenant_name and inviter_name in its subject and body, presents the account, workspace, and seven-day expiry as structured details, and labels the action Set up your account. vs_user supplies those values while retaining the earlier keys for staff-authored template compatibility. The raw URL remains in the plain-text body and is suppressed as a duplicate inside the standard HTML, which shows the button and fallback link. Migration 0013 changes only html_is_custom=false. Verified by 114 Module 8 tests and 341 Module 3 tests.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