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1.11</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
              <w:rPr>
                <w:b w:val="0"/>
                <w:sz w:val="16"/>
              </w:rPr>
              <w:t>M02</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1.11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30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Backend working tree at 30 October 2026, Area E Field Access implementation and focused verification. Frontend integration checked locally; deployment is not asserted.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t>XVS Module Requirements Document v2.117</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pPr>
        <w:pStyle w:val="Heading2"/>
        <w:spacing w:before="220" w:after="120" w:line="240" w:lineRule="auto"/>
        <w:keepNext/>
        <w:pBdr>
          <w:bottom w:val="single" w:sz="8" w:space="5" w:color="355B9D"/>
        </w:pBdr>
      </w:pPr>
      <w:r>
        <w:t xml:space="preserve">FR-021  Manage Subscription Catalogue Rates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An authorized platform operator must be able to review and change the per-student catalogue rates used for future school agreements without changing saved agreements or historical invoices.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 platform Settings console exposes Subscription pricing to platform.schools.view holders and permits writes only with platform.schools.configure. PATCH /v1/i/package-plans/{code}/price/ accepts a positive minor-unit rate for Basic, Standard and Premium, refuses an Enterprise catalogue rate, and emits a CONFIG UPDATE audit event with before and after values.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A reader sees Basic, Standard, Premium and Enterprise. An editor can change a fixed tier and receives the saved value; a reader receives 403 on the same write. Enterprise remains a per-school quote. A catalogue change affects only school agreements created or changed afterwards.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t>There is no effective-date schedule for future catalogue changes; a permitted edit takes effect immediately for subsequent agreements.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2"/>
      </w:pPr>
      <w:r>
        <w:t>D83-D102 Current Contracts</w:t>
      </w:r>
    </w:p>
    <w:p>
      <w:pPr/>
      <w:r>
        <w:t>These contracts state current behavior at the committed evidence boundary and replace an earlier sentence wherever the two disagree.</w:t>
      </w:r>
    </w:p>
    <w:p>
      <w:r>
        <w:t>CodeX operators maintain national payroll tax tables and statutory reference data under platform-only finance.statutory.create and finance.statutory.update keys. The data is versioned by calendar year and is not tenant-owned configuration.</w:t>
      </w:r>
    </w:p>
    <w:p>
      <w:r>
        <w:t>Platform payment operators list and submit held settlements across client tenants. Two distinct CodeX people approve release, and platform health and settlement operators receive held-ledger mismatch and dispute notices.</w:t>
      </w:r>
    </w:p>
    <w:p>
      <w:pPr>
        <w:pStyle w:val="Heading2"/>
        <w:spacing w:before="220" w:after="120" w:line="240" w:lineRule="auto"/>
        <w:keepNext/>
        <w:pBdr>
          <w:bottom w:val="single" w:sz="8" w:space="5" w:color="355B9D"/>
        </w:pBdr>
      </w:pPr>
      <w:r>
        <w:t>D103-D132 Current Contracts</w:t>
      </w:r>
    </w:p>
    <w:p>
      <w:pPr>
        <w:keepLines/>
      </w:pPr>
      <w:r>
        <w:t>These contracts reconcile committed backend behaviour through D132. They describe the current server contract and do not claim frontend delivery, deployment, production adoption, or migration of existing data.</w:t>
      </w:r>
    </w:p>
    <w:p>
      <w:pPr>
        <w:keepLines/>
      </w:pPr>
      <w:r>
        <w:t xml:space="preserve">• </w:t>
      </w:r>
      <w:r>
        <w:rPr>
          <w:b/>
        </w:rPr>
        <w:t xml:space="preserve">Retention controls: </w:t>
      </w:r>
      <w:r>
        <w:t>Platform delete-user and delete-entity operations refuse removal when retained financial records or audit evidence still depend on the person or books. The remedy is deactivation, so history remains attributable.</w:t>
      </w:r>
    </w:p>
    <w:p>
      <w:pPr>
        <w:keepLines/>
      </w:pPr>
      <w:r>
        <w:t xml:space="preserve">• </w:t>
      </w:r>
      <w:r>
        <w:rPr>
          <w:b/>
        </w:rPr>
        <w:t xml:space="preserve">Operator evidence: </w:t>
      </w:r>
      <w:r>
        <w:t>The requirements library continues to expose versioned MRD and FRD files. This revision records the D103-D132 evidence boundary without claiming deployment or frontend adoption.</w:t>
      </w:r>
    </w:p>
    <w:p>
      <w:pPr>
        <w:pStyle w:val="Heading1"/>
      </w:pPr>
      <w:r>
        <w:t>Current Contracts at 14 October 2026</w:t>
      </w:r>
    </w:p>
    <w:p>
      <w:pPr>
        <w:spacing w:after="100"/>
      </w:pPr>
      <w:r>
        <w:t>These contracts reconcile committed behavior through 14 October 2026. They form part of the current module contract and supersede older wording where the two disagree.</w:t>
      </w:r>
    </w:p>
    <w:p>
      <w:pPr>
        <w:spacing w:after="60"/>
      </w:pPr>
      <w:r>
        <w:t>• Platform school reads govern subscription pricing through platform-scoped Field Access. School-facing switches never govern CodeX platform staff acting on platform records.</w:t>
      </w:r>
    </w:p>
    <w:p>
      <w:pPr>
        <w:spacing w:after="60"/>
      </w:pPr>
      <w:r>
        <w:t>• Console overview signals are tenant-scoped before aggregation, closing cross-tenant count and status leaks.</w:t>
      </w:r>
    </w:p>
    <w:p>
      <w:pPr>
        <w:spacing w:after="60"/>
      </w:pPr>
      <w:r>
        <w:t>• The platform export boundary distinguishes tenant-owned school-user exports from the platform-only cross-tenant user export.</w:t>
      </w:r>
    </w:p>
    <w:p>
      <w:pPr>
        <w:spacing w:before="300" w:after="160" w:line="240" w:lineRule="auto"/>
        <w:keepNext/>
        <w:pBdr>
          <w:bottom w:val="single" w:sz="14" w:space="5" w:color="355B9D"/>
        </w:pBdr>
      </w:pPr>
      <w:r>
        <w:t>Current Area E Field Access contract (30 October 2026). Platform issuer profile and onboarding defaults use separate platform.profile Read and Write controls. The CodeX settings view omits hidden values and submits only writable values. Entitlement scheduling and renewal calendar controls follow platform.entitlements window and calendar decisions.</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v2.117.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r>
        <w:tc>
          <w:tcPr>
            <w:tcW w:type="dxa" w:w="5184"/>
          </w:tcPr>
          <w:p>
            <w:r>
              <w:t>Subscription pricing settings for future school agreements</w:t>
            </w:r>
          </w:p>
        </w:tc>
        <w:tc>
          <w:tcPr>
            <w:tcW w:type="dxa" w:w="5284"/>
          </w:tcPr>
          <w:p>
            <w:r>
              <w:t>FR-021</w:t>
            </w:r>
          </w:p>
        </w:tc>
      </w:tr>
    </w:tbl>
    <w:p>
      <w:r>
        <w:br w:type="page"/>
      </w:r>
    </w:p>
    <w:p>
      <w:pPr>
        <w:spacing w:before="300" w:after="160" w:line="240" w:lineRule="auto"/>
        <w:keepNext/>
        <w:pBdr>
          <w:bottom w:val="single" w:sz="14" w:space="5" w:color="355B9D"/>
        </w:pBdr>
      </w:pPr>
      <w:r>
        <w:t>MRD v2.117 keeps this module's ownership, phase, backend and integration states and capability count unchanged. The Area E contract above deepens existing capability entries. Backend implementation and local frontend checks are evidenced; deployment and production adoption are not asserted.</w:t>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r>
        <w:tc>
          <w:tcPr>
            <w:tcW w:type="dxa" w:w="1152"/>
          </w:tcPr>
          <w:p>
            <w:r>
              <w:t>1.9</w:t>
            </w:r>
          </w:p>
        </w:tc>
        <w:tc>
          <w:tcPr>
            <w:tcW w:type="dxa" w:w="1512"/>
          </w:tcPr>
          <w:p>
            <w:r>
              <w:t>10 October 2026</w:t>
            </w:r>
          </w:p>
        </w:tc>
        <w:tc>
          <w:tcPr>
            <w:tcW w:type="dxa" w:w="7804"/>
          </w:tcPr>
          <w:p>
            <w:r>
              <w:t>Adds FR-021 for the audited Subscription pricing settings section, read and write permission split, fixed-tier validation and quoted Enterprise behavior. Aligns with MRD v2.104.</w:t>
            </w:r>
          </w:p>
        </w:tc>
      </w:tr>
      <w:tr>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t>1.11</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t>30 October 2026</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t>Area E Field Access contract and MRD v2.117 traceability. Platform issuer profile and onboarding defaults use separate platform.profile Read and Write controls. The CodeX settings view omits hidden values and submits only writable values. Entitlement scheduling and renewal calendar controls follow platform.entitlements window and calendar decisions.</w:t>
            </w:r>
          </w:p>
        </w:tc>
      </w:tr>
      <w:tblGrid>
        <w:gridCol w:w="1152"/>
        <w:gridCol w:w="1512"/>
        <w:gridCol w:w="7804"/>
      </w:tblGrid>
      <w:tr>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1.10</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14 October 2026</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r/>
            <w:r>
              <w:rPr>
                <w:b w:val="0"/>
                <w:sz w:val="14"/>
              </w:rPr>
              <w:t>Reconciles the queued platform, Field Access, search and product contracts through 850e5b45 (14 October 2026). Aligns with MRD v2.106. Backend evidence only; no deployment claim.</w:t>
            </w:r>
          </w:p>
        </w:tc>
      </w:tr>
      <w:tr>
        <w:tc>
          <w:tcPr>
            <w:tcW w:type="dxa" w:w="1152"/>
          </w:tcPr>
          <w:p>
            <w:r>
              <w:t>1.9</w:t>
            </w:r>
          </w:p>
        </w:tc>
        <w:tc>
          <w:tcPr>
            <w:tcW w:type="dxa" w:w="1512"/>
          </w:tcPr>
          <w:p>
            <w:r>
              <w:t>10 October 2026</w:t>
            </w:r>
          </w:p>
        </w:tc>
        <w:tc>
          <w:tcPr>
            <w:tcW w:type="dxa" w:w="7804"/>
          </w:tcPr>
          <w:p>
            <w:r>
              <w:t>Adds FR-021 for the audited Subscription pricing settings section, read and write permission split, fixed-tier validation and quoted Enterprise behavior. Aligns with MRD v2.104.</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1.8</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7 October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Oct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p/>
    <w:p/>
    <w:p/>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v1.7</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