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r>
              <w:rPr>
                <w:b/>
                <w:color w:val="FFFFFF"/>
                <w:sz w:val="28"/>
              </w:rPr>
              <w:t>Module 18: Payments &amp; Collections</w:t>
            </w:r>
          </w:p>
          <w:p>
            <w:r>
              <w:rPr>
                <w:color w:val="FFFFFF"/>
                <w:sz w:val="20"/>
              </w:rPr>
              <w:t>XVision Systems | Code-aligned functional baseline</w:t>
            </w:r>
          </w:p>
          <w:p>
            <w:r>
              <w:rPr>
                <w:b/>
                <w:color w:val="FFFFFF"/>
                <w:sz w:val="19"/>
              </w:rPr>
              <w:t>Prepared by: CodeX Team     Version: 1.21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can be given a dedicated virtual account that credits the entity ledger. The platform checks active accounts every day and replaces an account the provider has closed.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create_virtual_account provisions through the provider and records the account against the customer and the deposit account it books to. set_virtual_account_status governs activation and deactivation. check_virtual_account_standing pages active accounts, asks the provider for standing, replaces a closed account through the existing issue path, and queues a family notice after commit.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 A provider-closed account is replaced once and the family receives the new account details through Module 8.</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2"/>
        <w:keepNext/>
        <w:pBdr>
          <w:bottom w:val="single" w:sz="8" w:space="5" w:color="355B9D"/>
        </w:pBdr>
      </w:pPr>
      <w:r>
        <w:t>FR-027 Verify and Replace Provider-Closed Virtual Accounts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platform must verify active pupil virtual accounts with their provider and replace one the provider has closed.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check_virtual_account_standing pages active accounts, verifies standing through the account provider, and calls the existing replacement service under the account lock. The replacement emits the family notification after commit.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closed account receives one active replacement with the same tenant, entity, branch and customer scope; a repeated run is idempotent and the family is told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job runs only when Celery beat and a worker are operating, and production scheduling is not inferred from repository evidence.</w:t>
            </w:r>
          </w:p>
        </w:tc>
      </w:tr>
    </w:tbl>
    <w:p w:rsidR="00A62A3E" w:rsidRDefault="00000000">
      <w:pPr>
        <w:pStyle w:val="Heading2"/>
        <w:keepNext/>
        <w:pBdr>
          <w:bottom w:val="single" w:sz="8" w:space="5" w:color="355B9D"/>
        </w:pBdr>
      </w:pPr>
      <w:r>
        <w:t>FR-028  Issue and Operate Family Transfer Accounts While Card Is Optional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FR-028  Issue and Operate Family Transfer Accounts While Card Is Optional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Issue each enrolled pupil a dedicated Paystack transfer account, keep family card payment optional, and notify the family when a transfer books.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Issuance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Issue the account on every move into enrolled, including readmission, and at the first bill. The daily fal-issue-missing-transfer-accounts sweep runs at 01:30, makes at most 300 provider asks, asks a refusing branch once, and skips a school after three failures for the run. fees.student_payment_enabled governs pupil payment screens, not issuance.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Transfer booking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belongs to the pupil's finance customer and branch. A booked transfer follows existing webhook verification and ledger booking, then raises the pupil and guardian receipt notice. The apps may poll deposits every five seconds while visible and move from On its way to Received with the receipt link.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Card switch</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Family card routes honor fees.family_card_payments_enabled, default false. Staff-side collections, terminals, refunds, payroll, and virtual-account transfer booking are unchanged. The minimum part-payment applies to card only.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enrolled pupil receives an account even when pupil payment is off; a missing account produces the setup message rather than a card fallback; a transfer books once and notifies each linked parent account; and a family card attempt is refused while staff collection remains available.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Paystack rate limits for bulk enrollment are untested, and a real end-to-end transfer has not been run on staging.</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pPr>
        <w:pStyle w:val="Heading2"/>
      </w:pPr>
      <w:r>
        <w:t>D83-D102 Current Contracts</w:t>
      </w:r>
    </w:p>
    <w:p>
      <w:pPr/>
      <w:r>
        <w:t>These contracts state current behavior at the committed evidence boundary and replace an earlier sentence wherever the two disagree.</w:t>
      </w:r>
    </w:p>
    <w:p>
      <w:r>
        <w:t>Collection intents, virtual accounts, payout batches and payout instructions carry a branch. Reads, transactions, webhooks, dashboards and approvals follow that branch. A payout belongs to the branch of the bank that funds it, and a branch-bound caller must select a bank account in reach.</w:t>
      </w:r>
    </w:p>
    <w:p>
      <w:r>
        <w:t>Confirmed online money first debits Gateway clearing. A settlement records gross collections, provider fees and net bank cash in the bank account's branch and refuses an unexplained shortfall or an impossible date. Primary collection accounts and Paystack subaccounts are per branch.</w:t>
      </w:r>
    </w:p>
    <w:p>
      <w:r>
        <w:t>Custody is HELD or DIRECT. Direct mode requires a Paystack subaccount for every branch, routes checkouts and virtual accounts through the branch subaccount, and does not offer online payouts or refunds. Held mode keeps a balance per tenant branch in CodeX's books, schedules settlements, enforces available funds at payout dispatch and handles chargebacks and recoveries.</w:t>
      </w:r>
    </w:p>
    <w:p>
      <w:r>
        <w:t>Held settlements are generated per due branch, submitted by a CodeX operator and approved by two distinct CodeX people. Schools read only their branches' settlements, balances, banks and movement summaries. A won dispute first repays any amount owed to CodeX, restores the remainder to held funds and reverses the school's chargeback entry exactly once.</w:t>
      </w:r>
    </w:p>
    <w:p>
      <w:r>
        <w:t>A daily held-ledger reconciliation compares Paystack with CodeX's provider balance and per-branch liabilities. A difference beyond platform tolerance opens one system-health incident and the next agreeing check resolves it.</w:t>
      </w:r>
    </w:p>
    <w:p>
      <w:r>
        <w:t>Current limits: Paystack dispute fields and transfer fees need production confirmation; the reconciliation assumes the provider balance is not swept daily and does not yet include CodeX's own online supplier payouts.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Payer payments: </w:t>
      </w:r>
      <w:r>
        <w:t>One payer payment can be split across the payer and actively linked customers. It creates one receipt per customer, holds another branch’s share for forwarding, and voids the group as one document.</w:t>
      </w:r>
    </w:p>
    <w:p>
      <w:pPr>
        <w:keepLines/>
      </w:pPr>
      <w:r>
        <w:t xml:space="preserve">• </w:t>
      </w:r>
      <w:r>
        <w:rPr>
          <w:b/>
        </w:rPr>
        <w:t xml:space="preserve">Recorder choices: </w:t>
      </w:r>
      <w:r>
        <w:t>The payer-payment preview route uses finance.payment.create and supplies labelled split options, the current default, and its label. A recorder no longer needs settings-read access to offer the choices.</w:t>
      </w:r>
    </w:p>
    <w:p>
      <w:pPr>
        <w:keepLines/>
      </w:pPr>
      <w:r>
        <w:t xml:space="preserve">• </w:t>
      </w:r>
      <w:r>
        <w:rPr>
          <w:b/>
        </w:rPr>
        <w:t xml:space="preserve">Branch close and custody: </w:t>
      </w:r>
      <w:r>
        <w:t>Settlement and payout work checks the relevant branch period. Payout reads expose custody mode, and provider activity is narrowed to the reader’s branch reach.</w:t>
      </w:r>
    </w:p>
    <w:p>
      <w:pPr>
        <w:keepLines/>
      </w:pPr>
      <w:r>
        <w:t xml:space="preserve">• </w:t>
      </w:r>
      <w:r>
        <w:rPr>
          <w:b/>
        </w:rPr>
        <w:t xml:space="preserve">Paystack sweep: </w:t>
      </w:r>
      <w:r>
        <w:t>The daily held-ledger comparison allows the configured platform sweep tolerance without masking other differences.</w:t>
      </w:r>
    </w:p>
    <w:p>
      <w:pPr>
        <w:keepLines/>
      </w:pPr>
      <w:r>
        <w:t xml:space="preserve">• </w:t>
      </w:r>
      <w:r>
        <w:rPr>
          <w:b/>
        </w:rPr>
        <w:t xml:space="preserve">Readable batches: </w:t>
      </w:r>
      <w:r>
        <w:t>Payout batch rows carry display_status; summary counts match their tabs, and approval=returned identifies sent-back batches separately.</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Held-custody refunds reserve the branch held balance and call Paystack only after approval. Confirmed refunds book customer credit against gateway clearing; failed refunds return to draft.</w:t>
      </w:r>
    </w:p>
    <w:p>
      <w:pPr>
        <w:spacing w:after="60"/>
      </w:pPr>
      <w:r>
        <w:t>• The public collection-status route is unsigned but throttled and returns only status, amount, payee name and paid time. Random references prevent enumeration; old sequential references answer not found.</w:t>
      </w:r>
    </w:p>
    <w:p>
      <w:pPr>
        <w:spacing w:after="60"/>
      </w:pPr>
      <w:r>
        <w:t>• Each branch can have a Paystack Virtual Terminal. Terminal money books to that branch, can match one customer by email, otherwise waits for branch-only review, and direct-custody terminals route through the branch subaccount.</w:t>
      </w:r>
    </w:p>
    <w:p>
      <w:pPr>
        <w:spacing w:after="60"/>
      </w:pPr>
      <w:r>
        <w:t>• Payroll payouts run per branch from held balances, reserve and book transfer fees, retry failed lines or record bank payment, and never spend another tenant's held money.</w:t>
      </w:r>
    </w:p>
    <w:p>
      <w:pPr>
        <w:spacing w:after="60"/>
      </w:pPr>
      <w:r>
        <w:t>• Current gaps: Paystack refund and transfer timing and payload facts remain unconfirmed; unmatched terminal receipts and failed payroll payouts have no notification.</w:t>
      </w:r>
    </w:p>
    <w:p>
      <w:pPr>
        <w:pStyle w:val="Heading1"/>
        <w:keepNext/>
        <w:pBdr>
          <w:bottom w:val="single" w:sz="14" w:space="5" w:color="355B9D"/>
        </w:pBdr>
      </w:pPr>
      <w:r>
        <w:t>Current Contracts at 19 October 2026</w:t>
      </w:r>
    </w:p>
    <w:p>
      <w:r>
        <w:t>Payment history records whether money came from a transfer account, an online checkout or the school. Portal collections record the parent or pupil account that started them, use PORTAL origin, and notify that account when confirmed. Provider method is retained as card, bank transfer, USSD or other.</w:t>
      </w:r>
    </w:p>
    <w:p>
      <w:r>
        <w:t>A pupil’s permanent virtual account may be opened on request and is also attempted after the first bill posts. Issue is skipped where pupil payments are disabled, the provider is off, dedicated accounts are unsupported or the branch cannot receive directly. Missing customer details create VIRTUAL_ACCOUNT_NOT_ISSUED evidence without values; provider outages retry five times before recording failure.</w:t>
      </w:r>
    </w:p>
    <w:p>
      <w:r>
        <w:t>The billing email is preferred, then the primary guardian email. Because the provider permits one active customer per email across the platform, an email already used for another pupil is not reused; that pupil receives an account through the stand-in path. Email check and issue are locked so siblings billed together are decided one at a time.</w:t>
      </w:r>
    </w:p>
    <w:p>
      <w:r>
        <w:t>A transfer without a named bill settles open bills in receipt-allocation order within its branch when apply_transfers_automatically is on, default on, and keeps any excess as credit. Turning it off keeps the whole transfer as credit. Checkout and desk receipts are unchanged.</w:t>
      </w:r>
    </w:p>
    <w:p w:rsidR="00A62A3E" w:rsidRDefault="00000000">
      <w:pPr>
        <w:pStyle w:val="Heading1"/>
        <w:keepNext/>
        <w:pBdr>
          <w:bottom w:val="single" w:sz="14" w:space="5" w:color="355B9D"/>
        </w:pBdr>
      </w:pPr>
      <w:r>
        <w:t>Current Contracts at 21 October 2026</w:t>
      </w:r>
    </w:p>
    <w:p>
      <w:r>
        <w:t>A daily standing check pages active pupil virtual accounts and asks the owning provider whether each account remains open. A provider-closed account is replaced through the existing idempotent issue path, preserving tenant, entity, branch, customer, and provider isolation.</w:t>
      </w:r>
    </w:p>
    <w:p>
      <w:r>
        <w:t>Replacement queues a family notice only after commit. A retry or repeated standing response does not create another active account or duplicate the notice. The scheduled task requires the ordinary Celery worker and beat process.</w:t>
      </w:r>
    </w:p>
    <w:p w:rsidR="00A62A3E" w:rsidRDefault="00000000">
      <w:pPr>
        <w:keepNext/>
        <w:pBdr>
          <w:bottom w:val="single" w:sz="14" w:space="5" w:color="355B9D"/>
        </w:pBdr>
      </w:pPr>
      <w:r>
        <w:t>Current Area E Field Access contract (30 October 2026). Ordinary customer receipts have their own finance.payment Field Access contract. Receipt amounts, dates, references, allocation totals and status are filtered on list, detail, summary and alternate invoice payment responses. Receipt creation and allocation writes check the corresponding field decisions.</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p w:rsidR="00A62A3E" w:rsidRDefault="00000000">
            <w:pPr>
              <w:spacing w:after="20"/>
              <w:ind w:left="86" w:hanging="86"/>
            </w:pPr>
            <w:r>
              <w:rPr>
                <w:sz w:val="16"/>
              </w:rPr>
              <w:t>• Paystack rate limits for bulk enrollment are untested, and no real end-to-end family transfer has been run on staging.</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v2.117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Pupil transfer accounts and optional family cards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FR-028</w:t>
            </w:r>
          </w:p>
        </w:tc>
      </w:tr>
    </w:tbl>
    <w:p w:rsidR="00A62A3E" w:rsidRDefault="00000000">
      <w:pPr>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rsidR="00A62A3E" w:rsidRDefault="00000000">
      <w:pPr>
        <w:pStyle w:val="Heading1"/>
        <w:keepNext/>
        <w:pBdr>
          <w:bottom w:val="single" w:sz="14" w:space="5" w:color="355B9D"/>
        </w:pBdr>
      </w:pPr>
      <w:r>
        <w:t>11. Change Log</w:t>
      </w:r>
    </w:p>
    <w:tbl>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Version</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Date</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E Field Access contract and MRD v2.117 traceability. Ordinary customer receipts have their own finance.payment Field Access contract. Receipt amounts, dates, references, allocation totals and status are filtered on list, detail, summary and alternate invoice payment responses. Receipt creation and allocation writes check the corresponding field decisions.</w:t>
            </w:r>
          </w:p>
        </w:tc>
      </w:tr>
      <w:tblGrid>
        <w:gridCol w:w="1200"/>
        <w:gridCol w:w="1600"/>
        <w:gridCol w:w="7668"/>
      </w:tblGrid>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26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enrolled-pupil transfer-account coverage, optional family card payment, and booked-transfer notices. Aligns with MRD v2.115.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21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daily virtual-account standing checks and idempotent family-notified replacement.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portal payment sources, first-bill virtual accounts and automatic transfer allocation.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v1.20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v1.20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1.20</cp:version>
</cp:coreProperties>
</file>