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1.26</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1.26</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v2.117</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r>
              <w:t xml:space="preserve"> The report resource registers seventeen read-only sections. JSON and CSV, XLSX and PDF exports omit closed sections. Income, balance sheet and cash flow can return safe partial statements; trial balance, equity, analysis and reconciliation refuse access when their only section is closed. A statutory pack requires every included section.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r>
              <w:t xml:space="preserve"> A hidden statement section has no values in JSON or export. A closed required section refuses the statutory pack with 403. tests_budget_report_field_access covers the alternate formats and partial statements.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r>
              <w:t xml:space="preserve"> Eight budget fields now govern names, year, status, approval date, line coordinates, sensitive planned amount, ledger actual and derived variance. Create, rename and line endpoints enforce writes; list, detail, variance, heatmap, roll-up and dashboard restatements enforce reads.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r>
              <w:t xml:space="preserve"> A reader without planned-amount Read sees no line amount, planned total, heatmap cell or derived ratio; one without Write cannot create or replace amount-bearing lines. tests_budget_report_field_access covers the default-closed and granted paths.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pStyle w:val="Heading2"/>
        <w:keepNext/>
        <w:pBdr>
          <w:bottom w:val="single" w:sz="8" w:space="5" w:color="355B9D"/>
        </w:pBdr>
      </w:pPr>
      <w:r>
        <w:t>FR-027  Guide the Chart, Gate Hand Journals, and Settle Receivables Clearly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FR-027  Guide the Chart, Gate Hand Journals, and Settle Receivables Clearly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Explain the chart of accounts, separate school-managed and system-managed rows, allocate safe codes, route hand journals explicitly, and keep payroll, receivable, and held-credit totals truthful.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Chart guide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Every default account has a one-line purpose back-filled only where description is blank. The chart shows code, name, and tags; detail exposes readable description from an info icon. Every account read carries managed_by or null. Zero-balance managed accounts fold under Managed by the system; a readable nonzero balance moves the row into the main chart. A hidden balance is treated as zero, and hidden managed_by produces the single chart.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Account creation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POST /finance/accounts/ may take account_type without code and allocates ten above the highest free code for that type, skipping every default and mapping-reserved code. The next-code preview and suggestions routes require finance.account.create. Generic suggestions come from finance and school suggestions from the FAL. Choosing a reserved code names the kept system account and the next free code, including on bank and petty-cash splits.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Journal approval</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Each school owns a finance.journal route with no steps until configured. A direct or human-posted draft journal answers APPROVAL_NOT_CONFIGURED until explicitly confirmed without approval; once steps exist it posts only after workflow approval. Journals raised by invoices, receipts, and payroll remain governed by their source.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Payroll and balances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 draft payslip includes its own line once in YTD; other runs count only when posted or paid. Budget headlines count the plan's one direction. Owing and credit remain separate. Receipt account balance uses owing, in credit, or zero wording without a sign convention.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Held credit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At the same branch and under auto_apply_customer_credit, receipt credit settles a newly posted debit note and eligible held credit settles only bills reopened by voiding a receipt, credit note, concession, refund, or credit transfer. Credit-note credit never settles a debit note. A closed period skips the pairing without blocking the void. Receivable-move voids are excluded.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Field Access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finance.account.managed_by and ifrs_line apply end to end; claimant and pay figures remain as documented; virtual-account values on staff invoices use the payments resource. The refund bank_account request name is Write-only under its existing switch.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Credit held at another branch deliberately remains beside the bill. Invoice posting still fails if held credit cannot be applied in a closed period; voiding does not. The real family-transfer flow remains unproved on staging.</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r>
        <w:t xml:space="preserve"> Budgets and financial statements also have explicit field decisions. Planned amounts start closed; report sections start open. Derived comparisons require every source figure they reveal.</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pPr>
        <w:pStyle w:val="Heading1"/>
      </w:pPr>
      <w:r>
        <w:t>Current Contracts at 24 October 2026</w:t>
      </w:r>
    </w:p>
    <w:p>
      <w:pPr/>
      <w:r>
        <w:t>The chart, cost centres, journals and finance setup lists enforce their registered fields on detail, creation and correction paths. One journal-line switch covers account, dimensions, debit, credit and description. Journal exports apply the same controls to columns, account filters and narration or reference search.</w:t>
      </w:r>
    </w:p>
    <w:p>
      <w:pPr/>
      <w:r>
        <w:t>Bank statement dates, lines, match state, adjustment details and reconciliation history have separate controls. Customer source references and bank statement balances are sensitive. A statement balance is writable through its own switch but readable only when the account statement balance is readable. A correction without a submitted opening balance preserves the stored value.</w:t>
      </w:r>
    </w:p>
    <w:p>
      <w:pPr>
        <w:pStyle w:val="Heading2"/>
      </w:pPr>
      <w:r>
        <w:t>Current Field Access Contract at 25 October 2026</w:t>
      </w:r>
    </w:p>
    <w:p>
      <w:r>
        <w:t>The AP reconciliation served by Procurement has a read-only finance.report.ap_reconciliation switch. Subledger total, control total, difference and reconciliation verdict disappear together when a role cannot read that switch. Other finance report fields keep their existing controls; no new posting or ledger rule is implied.</w:t>
      </w:r>
    </w:p>
    <w:p>
      <w:pPr/>
      <w:r>
        <w:t>Current Field Access contract: the school-owned payroll-scope setting has its own school.settings Read and Write decisions. A writer still needs the existing school-wide reach, and the finance guard still refuses a per-branch choice that would leave an active employee without a branch. This change does not alter payroll posting or finance.settings switches.</w:t>
      </w:r>
    </w:p>
    <w:p w:rsidR="00A62A3E" w:rsidRDefault="00000000">
      <w:pPr>
        <w:keepNext/>
        <w:pBdr>
          <w:bottom w:val="single" w:sz="14" w:space="5" w:color="355B9D"/>
        </w:pBdr>
      </w:pPr>
      <w:r>
        <w:t>Current Area E Field Access contract (30 October 2026). Ordinary receipts and petty cash funds and vouchers have separate Field Access resources. Voucher payee and spent-by, fund float and cash on hand start readable to roles that may view the resource. Establish and replenish amounts are action inputs; cash on hand is a read-only computed field. Receipt and petty cash exports, dashboards, alternate reads and writes follow the source switches.</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v2.117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r>
        <w:tc>
          <w:tcPr>
            <w:tcW w:type="dxa" w:w="6000"/>
          </w:tcPr>
          <w:p>
            <w:r>
              <w:t>Chart guidance, hand journals, and held credit</w:t>
            </w:r>
          </w:p>
        </w:tc>
        <w:tc>
          <w:tcPr>
            <w:tcW w:type="dxa" w:w="4468"/>
          </w:tcPr>
          <w:p>
            <w:r>
              <w:t>FR-027</w:t>
            </w:r>
          </w:p>
        </w:tc>
      </w:tr>
    </w:tbl>
    <w:p w:rsidR="00A62A3E" w:rsidRDefault="00000000">
      <w:pPr>
        <w:keepLines/>
        <w:spacing w:after="120"/>
      </w:pPr>
      <w:r>
        <w:t>All 26 entries are traced above. Module number, name, phase, backend and in-use states and code ownership agree with MRD v2.117,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tc>
          <w:tcPr>
            <w:tcW w:type="dxa" w:w="1200"/>
          </w:tcPr>
          <w:p>
            <w:r>
              <w:t>1.25</w:t>
            </w:r>
          </w:p>
        </w:tc>
        <w:tc>
          <w:tcPr>
            <w:tcW w:type="dxa" w:w="1600"/>
          </w:tcPr>
          <w:p>
            <w:r>
              <w:t>29 October 2026</w:t>
            </w:r>
          </w:p>
        </w:tc>
        <w:tc>
          <w:tcPr>
            <w:tcW w:type="dxa" w:w="7668"/>
          </w:tcPr>
          <w:p>
            <w:r>
              <w:t>Area D school settings Field Access contract. Separate per-setting decisions, always-readable vocabulary and display values, partial writes, and affected module behavior. Aligns with MRD v2.116.</w:t>
            </w:r>
          </w:p>
        </w:tc>
      </w:tr>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1.26</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30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t>Area E Field Access contract and MRD v2.117 traceability. Ordinary receipts and petty cash funds and vouchers have separate Field Access resources. Voucher payee and spent-by, fund float and cash on hand start readable to roles that may view the resource. Establish and replenish amounts are action inputs; cash on hand is a read-only computed field. Receipt and petty cash exports, dashboards, alternate reads and writes follow the source switches.</w:t>
            </w:r>
          </w:p>
        </w:tc>
      </w:tr>
      <w:tr>
        <w:tc>
          <w:tcPr>
            <w:tcW w:type="dxa" w:w="1200"/>
          </w:tcPr>
          <w:p>
            <w:r>
              <w:t>1.25</w:t>
            </w:r>
          </w:p>
        </w:tc>
        <w:tc>
          <w:tcPr>
            <w:tcW w:type="dxa" w:w="1600"/>
          </w:tcPr>
          <w:p>
            <w:r>
              <w:t>29 October 2026</w:t>
            </w:r>
          </w:p>
        </w:tc>
        <w:tc>
          <w:tcPr>
            <w:tcW w:type="dxa" w:w="7668"/>
          </w:tcPr>
          <w:p>
            <w:r>
              <w:t>Area D school settings Field Access contract. Separate per-setting decisions, always-readable vocabulary and display values, partial writes, and affected module behavior. Aligns with MRD v2.116.</w:t>
            </w:r>
          </w:p>
        </w:tc>
      </w:tr>
      <w:tr>
        <w:tc>
          <w:tcPr>
            <w:tcW w:type="dxa" w:w="1200"/>
          </w:tcPr>
          <w:p>
            <w:r>
              <w:t>1.24</w:t>
            </w:r>
          </w:p>
        </w:tc>
        <w:tc>
          <w:tcPr>
            <w:tcW w:type="dxa" w:w="1600"/>
          </w:tcPr>
          <w:p>
            <w:r>
              <w:t>26 October 2026</w:t>
            </w:r>
          </w:p>
        </w:tc>
        <w:tc>
          <w:tcPr>
            <w:tcW w:type="dxa" w:w="7668"/>
          </w:tcPr>
          <w:p>
            <w:r>
              <w:t>Reconciles chart guidance, managed accounts, code allocation, hand-journal approval, YTD, held credit, and receipt balances. Aligns with MRD v2.115.</w:t>
            </w:r>
          </w:p>
        </w:tc>
      </w:tr>
      <w:tr>
        <w:tc>
          <w:tcPr>
            <w:tcW w:type="dxa" w:w="1200"/>
          </w:tcPr>
          <w:p>
            <w:r>
              <w:t>1.23</w:t>
            </w:r>
          </w:p>
        </w:tc>
        <w:tc>
          <w:tcPr>
            <w:tcW w:type="dxa" w:w="1600"/>
          </w:tcPr>
          <w:p>
            <w:r>
              <w:t>25 October 2026</w:t>
            </w:r>
          </w:p>
        </w:tc>
        <w:tc>
          <w:tcPr>
            <w:tcW w:type="dxa" w:w="7668"/>
          </w:tcPr>
          <w:p>
            <w:r>
              <w:t>Records the Area C Field Access contract for the module and aligns traceability with MRD v2.114. Backend and local frontend evidence only.</w:t>
            </w:r>
          </w:p>
        </w:tc>
      </w:tr>
      <w:tr>
        <w:tc>
          <w:tcPr>
            <w:tcW w:type="dxa" w:w="1200"/>
          </w:tcPr>
          <w:p>
            <w:r>
              <w:t>1.22</w:t>
            </w:r>
          </w:p>
        </w:tc>
        <w:tc>
          <w:tcPr>
            <w:tcW w:type="dxa" w:w="1600"/>
          </w:tcPr>
          <w:p>
            <w:r>
              <w:t>24 October 2026</w:t>
            </w:r>
          </w:p>
        </w:tc>
        <w:tc>
          <w:tcPr>
            <w:tcW w:type="dxa" w:w="7668"/>
          </w:tcPr>
          <w:p>
            <w:r>
              <w:t>Accounts, journals, setup values and bank statement and reconciliation fields gain explicit Field Access on reads and writes. Statement balances are sensitive and also require the account balance switch to read. Aligns with MRD v2.113.</w:t>
            </w:r>
          </w:p>
        </w:tc>
      </w:tr>
      <w:tr>
        <w:tc>
          <w:tcPr>
            <w:tcW w:type="dxa" w:w="1200"/>
          </w:tcPr>
          <w:p>
            <w:r>
              <w:t>1.21</w:t>
            </w:r>
          </w:p>
        </w:tc>
        <w:tc>
          <w:tcPr>
            <w:tcW w:type="dxa" w:w="1600"/>
          </w:tcPr>
          <w:p>
            <w:r>
              <w:t>23 October 2026</w:t>
            </w:r>
          </w:p>
        </w:tc>
        <w:tc>
          <w:tcPr>
            <w:tcW w:type="dxa" w:w="7668"/>
          </w:tcPr>
          <w:p>
            <w:r>
              <w:t>Adds budget and financial-statement Field Access contracts, including sensitive planned amounts, separate statement sections, safe partial reports, export parity and statutory-pack refusal. Aligns with MRD v2.112. Backend and local frontend evidence only.</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1.24</cp:version>
</cp:coreProperties>
</file>