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and Exports</w:t>
            </w:r>
          </w:p>
          <w:p>
            <w:pPr>
              <w:spacing w:before="0" w:after="180" w:line="240" w:lineRule="auto"/>
            </w:pPr>
            <w:r>
              <w:rPr>
                <w:rFonts w:ascii="Aptos Narrow" w:hAnsi="Aptos Narrow"/>
                <w:b w:val="0"/>
                <w:color w:val="FFFFFF"/>
                <w:sz w:val="20"/>
              </w:rPr>
              <w:t>XVision Systems | Exports that preserve screen scope</w:t>
            </w:r>
          </w:p>
          <w:p>
            <w:pPr>
              <w:spacing w:before="0" w:after="0" w:line="240" w:lineRule="auto"/>
            </w:pPr>
            <w:r>
              <w:rPr>
                <w:rFonts w:ascii="Aptos Narrow" w:hAnsi="Aptos Narrow"/>
                <w:b/>
                <w:color w:val="FFFFFF"/>
                <w:sz w:val="19"/>
              </w:rPr>
              <w:t>Prepared by: CodeX Team    Version: 1.13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1.13</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working tree at 30 October 2026, Area E Field Access implementation and focused verification. Frontend integration checked locally; deployment is not asserted.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v2.117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search, filters, sorts, columns and metadata follow Field Access. Hidden search columns are ignored, hidden single-column filters fail, hidden sorts drop, and saved or scheduled runs fail with FILTER_FORBIDDEN.</w:t>
      </w:r>
    </w:p>
    <w:p>
      <w:pPr>
        <w:spacing w:after="60"/>
      </w:pPr>
      <w:r>
        <w:t>• Student export name, birth date, address, phone and email now follow their switches in addition to the sensitive-export key.</w:t>
      </w:r>
    </w:p>
    <w:p>
      <w:pPr>
        <w:spacing w:after="60"/>
      </w:pPr>
      <w:r>
        <w:t>• Attendance CSV downloads are immediate. Gradebook build 1 produces report-card data for browser printing; build 2 retains analytics CSV/XLSX and bulk-sheet work.</w:t>
      </w:r>
    </w:p>
    <w:p>
      <w:pPr>
        <w:pStyle w:val="Heading1"/>
        <w:spacing w:before="300" w:after="160" w:line="240" w:lineRule="auto"/>
        <w:keepNext/>
        <w:pBdr>
          <w:bottom w:val="single" w:sz="14" w:space="5" w:color="355B9D"/>
        </w:pBdr>
      </w:pPr>
      <w:r>
        <w:t>Current Contracts at 19 October 2026</w:t>
      </w:r>
    </w:p>
    <w:p>
      <w:r>
        <w:t>Finance and procurement screen exports inherit branch and period from the source list. The builder offers only branches the reader works in, plus an unassigned choice to a whole-school reader, and hides the control when fewer than two choices remain. A branch is a scope dimension and not a Field Access field.</w:t>
      </w:r>
    </w:p>
    <w:p>
      <w:r>
        <w:t>Invoices, invoice lines, ledger postings, receipts, expense claims, purchase orders, vendor bills and requisitions apply the selected branch and date window. With no period, files leave archived years out as the list does while retaining still-owed bills. A named year includes all of itself whether archived or open.</w:t>
      </w:r>
    </w:p>
    <w:p>
      <w:r>
        <w:t>The export engine continues to judge search, filters and sorting by Field Access. Scope narrowing never restores a hidden column or permits a filter on an unreadable field.</w:t>
      </w:r>
    </w:p>
    <w:p>
      <w:pPr>
        <w:pStyle w:val="Heading1"/>
      </w:pPr>
      <w:r>
        <w:t>Current Contracts at 24 October 2026</w:t>
      </w:r>
    </w:p>
    <w:p>
      <w:pPr/>
      <w:r>
        <w:t>Finance invoice and journal datasets attach Field Access to their columns and derived figures. Builder metadata, saved definitions, scheduled runs, filters, searches and sort order apply the same access at execution time. A hidden journal narration cannot be searched, and a hidden journal line cannot be used as an account filter.</w:t>
      </w:r>
    </w:p>
    <w:p>
      <w:pPr/>
      <w:r>
        <w:t>A derived invoice amount paid or credited needs both the invoice total and settlement switches. When either closes, the column is unavailable in the builder and omitted from a run; it cannot be recovered through sorting or filtering.</w:t>
      </w:r>
    </w:p>
    <w:p>
      <w:pPr>
        <w:pStyle w:val="Heading2"/>
      </w:pPr>
      <w:r>
        <w:t>Current Field Access Contract at 25 October 2026</w:t>
      </w:r>
    </w:p>
    <w:p>
      <w:r>
        <w:t>Procurement order, bill, requisition and vendor export columns carry their owning Field Access keys. Order payment terms, requisition estimated total and vendor payable account are unavailable in builder metadata and output when their Read switch is closed. The order contract reference follows the contract link switch. Branch and period narrowing continue to apply before field filtering.</w:t>
      </w:r>
    </w:p>
    <w:p>
      <w:pPr>
        <w:spacing w:before="300" w:after="160" w:line="240" w:lineRule="auto"/>
        <w:keepNext/>
        <w:pBdr>
          <w:bottom w:val="single" w:sz="14" w:space="5" w:color="355B9D"/>
        </w:pBdr>
      </w:pPr>
      <w:r>
        <w:t>Current Area E Field Access contract (30 October 2026). The customer receipt export binds columns and filters to finance.payment Field Access. Hidden receipt fields cannot be exported or used as query filters. Existing unregistered GL posting and purchase-order payment-term sources remain recorded gaps.</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v2.117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spacing w:before="300" w:after="160" w:line="240" w:lineRule="auto"/>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1.12</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25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Records the Area C Field Access contract for the module and aligns traceability with MRD v2.114. Backend and local frontend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1.13</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30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t>Area E Field Access contract and MRD v2.117 traceability. The customer receipt export binds columns and filters to finance.payment Field Access. Hidden receipt fields cannot be exported or used as query filters. Existing unregistered GL posting and purchase-order payment-term sources remain recorded gaps.</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1.11</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24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Invoice and journal exports follow field-level controls on columns, searches, filters and sorts. A derived column that joins two protected values requires both switches. Aligns with MRD v2.113.</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1.10</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19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Carries branch, period and archived-year scope from finance and procurement screens into files.</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sz w:val="18"/>
              </w:rPr>
            </w:r>
            <w:r>
              <w:rPr>
                <w:b w:val="0"/>
                <w:sz w:val="18"/>
              </w:rPr>
              <w:t>Reconciles the queued platform, Field Access, search and product contracts through 850e5b45 (14 October 2026). Aligns with MRD v2.106. Backend evidence only; no deployment claim.</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pPr>
            <w:r>
              <w:rPr>
                <w:rFonts w:ascii="Arial" w:hAnsi="Arial" w:eastAsia="Arial"/>
                <w:sz w:val="18"/>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8"/>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sz w:val="18"/>
              </w:rP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First code-aligned baseline for Module 26. Defines the export catalogue, preview and quick export, saved definitions, run and file lifecycles, download authorisation, audit trail and five current gaps. Backend evidence only; deployment and production adoption remain unverified.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