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p>
            <w:r>
              <w:rPr>
                <w:b/>
                <w:color w:val="FFFFFF"/>
                <w:sz w:val="28"/>
              </w:rPr>
              <w:t>Module Requirements Document</w:t>
            </w:r>
          </w:p>
          <w:p>
            <w:r>
              <w:rPr>
                <w:color w:val="FFFFFF"/>
                <w:sz w:val="20"/>
              </w:rPr>
              <w:t>XVision Systems | Code-aligned functional baseline</w:t>
            </w:r>
          </w:p>
          <w:p>
            <w:r>
              <w:rPr>
                <w:b/>
                <w:color w:val="FFFFFF"/>
                <w:sz w:val="19"/>
              </w:rPr>
              <w:t>Prepared by: CodeX Team     Version: 2.117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2.117</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30 October 2026, Area E Field Access implementation and focused verification. Frontend integration checked locally; deployment is not asserted.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Every current member of staff reads the branch reference list, while branch administration remains separately permissioned. School setup now supplies the standard leave route and school delivery resolves the school's own email name and logo. Documented by M01 FRD v1.35.1.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Shared person labels use first and last names, with email only for an unnamed account. Native and parent device sessions keep refresh credentials in the phone keychain, recover one lost rotation inside a short grace window, and eligible people may close their own account under product policy. Documented by M03 FRD v1.25.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One tenant-staff rule protects staff-only references and approvals; Field Access adds expense claimant and read-only message receipts.  The finance budget resource has eight registered field decisions, including a sensitive planned amount. The report resource has seventeen read-only statement-section decisions. Hidden aliases are removed from nested and alternate payloads. Procurement registers its Area C fields in the same role editor, with derived report and dashboard values following their source switches. Pending role grants have a narrow branch-scoped read, and Field Access covers leave, account closure, managed accounts, statutory lines, virtual-account values, and refund bank writes. Documented by M04 FRD v1.43.</w:t>
      </w:r>
      <w:r/>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Leave and account-closure evidence stays durable without exposing fields their reader cannot read. Documented by M05 FRD v1.13.1.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The caller capability list is staff-only, and messages.read_receipts is a school-wide default-on setting. Schools configure parent device-session length and whether families may start card payments. Documented by M06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Approval seats, delegations, queues, and decisions are staff-only, while every readable trail person carries a names-only label. Leave routes from the person it concerns, and every school owns an editable no-step hand-journal route that fails closed until configured or explicitly bypassed. Documented by M07 FRD v1.28.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School email carries the school's own identity, phone push uses Firebase beside Web Push, and account closure and booked transfers raise their dedicated notices. Documented by M08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A periodic safety task marks an import job and its batch failed when the job remains running past its configured limit, and records the recovery in the tenant audit trail. A school imports a bank statement only from the selected bank account's wizard; the generic batch route refuses that dataset. Documented by M10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and built from the Student Management design of 29 August 2026. Guardian-only accounts close immediately, pupil requests wait for branch-scoped school review, and retained school records are never deleted with the login account. Documented by M11 FRD v2.18.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 A narrow active-staff names list feeds shared pickers, and payroll documents use the current payslip and tax-summary design. Leave preview, line-manager approval, leave Field Access, and draft-payslip year-to-date figures share the live business rules. Documented by M12 FRD v2.22.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 Attendance surfaces apply the leave resource's type, date, day, status, and balance decisions. Documented by M15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Family fees show owing and held credit separately and render the pupil's transfer account when card payment is off. Documented by M17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Every enrolled pupil receives a dedicated transfer account, family card collection is optional, and a booked transfer notifies the pupil and linked guardians. Documented by M18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Finance reconciles payroll documents, directional budget totals, account-bound statement imports, staff-linked claimants, claimant Field Access, and human labels.  Budget names, coordinates, planned amounts, actuals and variance now follow separate Field Access decisions across lists, details, dashboards and exports. Financial statements and exports follow their section switches; a statutory pack refuses a missing section. The procurement AP reconciliation is governed by a read-only finance report switch; it does not change the ledger posting rules. The chart explains and folds system-managed accounts, allocates safe codes, hand journals use the school's route, and held credit settles only eligible same-branch receivables. Documented by M19 FRD v1.24.</w:t>
      </w:r>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A debit note and a qualifying adjustment void may apply eligible same-branch held credit without blocking a closed-period void. Documented by M20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v1.10.</w:t>
      </w:r>
      <w:r>
        <w:t xml:space="preserve"> Vendor accounting defaults, active order counts, catalogue prices, contract terms and values, and assessment scores now have explicit field decisions; assessment notes start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The procurement approval queue, detail, and decisions require current tenant staff membership in addition to their existing keys and reach. Documented by M22 FRD v1.23.</w:t>
      </w:r>
      <w:r>
        <w:t xml:space="preserve"> Budget availability and supplier plan summaries omit budget names and figures the reader may not read, while procurement commitments remain independently visible.</w:t>
      </w:r>
      <w:r>
        <w:t xml:space="preserve"> Requisition, RFQ and quotation fields, approval cards, exports and dashboard restatements follow the same Field Access switches; the RFQ budget estimate starts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v1.21.</w:t>
      </w:r>
      <w:r>
        <w:t xml:space="preserve"> Orders, receipts, bills, credit notes and payments carry separate field decisions across reports and alternate endpoints; bill and payment attachments each have one open Read and Write switch.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v1.9.</w:t>
      </w:r>
      <w:r>
        <w:t xml:space="preserve"> Stock quantity, valuation, reorder state and movement values have field decisions, with valuation open by default and derived dashboards following their source switches.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v1.12.</w:t>
      </w:r>
      <w:r>
        <w:t xml:space="preserve"> Procurement export columns for orders, bills, requisitions and vendors follow their source Field Access controls in builder metadata and files.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The pupil portal now has the backend contract for store-app sessions, phone push, version enforcement, account closure, refresh recovery, and transfer-first fees. Documented by M27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The parent portal uses a sliding device session and per-child transfer accounts, with the same store-app delivery, version, closure, and refresh contracts. Documented by M28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Authorized participants see optional stored and read receipts, including group and broadcast counts, through foreground ten-second polling and a fixed thread layout. Documented by M32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read state and optional read receipts</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times and read receipts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four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br/>
              <w:t>• Module 32 is Backend Complete and In use Partial with fourteen capability entries, reconciled to M32 FRD v1.2.</w:t>
              <w:br/>
              <w:t>• Conversations remain separate from Module 8. Module 8 delivers four new-message events and their templates through the CONVERSATION record family; no message text appears in any channel or stored notification.</w:t>
              <w:br/>
              <w:t>• The owner decisions are confirmed. Staff direct conversations are visible to their two participants only; every pupil conversation is readable by the primary guardian and inspectable read-only and audited under the welfare key; groups and broadcasts are staff only; messages are text only.</w:t>
              <w:br/>
              <w:t>• The backend and the staff, parent, and student screens are committed on main and present on staging. Production deployment and adoption are not inferred.</w:t>
              <w:br/>
              <w:t>• In use is Partial because the pupil and parent home/ responses carry no unread-messages block; each portal serves its own unread-count route instead.</w:t>
              <w:br/>
              <w:t>• Optional read receipts are school-wide, default on, and read-only under Field Access. An open conversation polls every ten seconds while visible and keeps its person header and composer fixed around the scrolling messages.</w:t>
              <w:br/>
              <w:t>• The receipt behavior commit records schools.vs_messages.tests.test_receipts as passing. This documentation-only revision did not rerun application tests, and the full repository suite was not run.</w:t>
              <w:br/>
              <w:t>• Field Access: school.messages registers nine fields, open by default; portal payloads remain a fixed narrow shape that no role switch reaches. Audit has the MESSAGES module key and six action types; RBAC has ten school keys and the verbs inspect and office; configuration has four school settings.</w:t>
              <w:br/>
              <w:t>• Needs Attention remains: production deployment is not evidenced, portal home integration is incomplete, staff reach follows the home branch only, a leaver's family conversations are not handed over, and a lost alert is not redispatched.</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The public store-app version policy is validated by core.W002 and remains tenant-independent. Documented by M30 FRD v1.6.1.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remaining ledger records 344 switches and open product decisions; it remains current work. Area A adds twenty-five registered decisions for finance budgets and reports; the remaining field inventory stays open.</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supporting FRDs were reconciled in MRD v2.110. Frontend delivery, deployment and production adoption are not inferred.</w:t>
      </w:r>
    </w:p>
    <w:p>
      <w:pPr>
        <w:pStyle w:val="Heading1"/>
        <w:keepNext/>
        <w:keepLines/>
        <w:pBdr>
          <w:bottom w:val="single" w:sz="8" w:space="3" w:color="4472C4"/>
        </w:pBdr>
        <w:spacing w:before="80" w:after="80"/>
      </w:pPr>
      <w:r>
        <w:t>6.5 22 October 2026 Capability Contracts</w:t>
      </w:r>
    </w:p>
    <w:p>
      <w:r>
        <w:t>Messaging adds optional read receipts. A stored message shows one tick, a fully read message two, and a group or broadcast reports Read by n of m from current eligible recipients. Inspectors and a guardian watching a pupil conversation do not count. The three apps keep an open thread fixed around its scrolling messages and poll every ten seconds while visible.</w:t>
      </w:r>
    </w:p>
    <w:p>
      <w:r>
        <w:t>The shared tenant-staff boundary now protects branch and capability references, workflow administration and decisions, procurement approvals, and every write that names an approver. Active tenant roles and in-force personal ALLOW grants qualify; guardians, pupils, revoked holders, and another tenant's staff do not.</w:t>
      </w:r>
    </w:p>
    <w:p>
      <w:r>
        <w:t>Approval payloads name requesters, voters, delegates, eligible approvers, reversers, and audit actors without exposing their profiles. The names-only staff reference list supplies shared claimant, payroll, and approver pickers, while each consuming write keeps its own tenant and business scope.</w:t>
      </w:r>
    </w:p>
    <w:p>
      <w:r>
        <w:t>Finance adds the current payroll document design, one-direction budget headlines, tenant-owned bank-statement imports entered from their account, staff-linked expense claimants with end-to-end Field Access, and human-name labels with an email fallback only for an unnamed account.</w:t>
      </w:r>
    </w:p>
    <w:p>
      <w:r>
        <w:t>No module status, ownership, priority gap, recommended build order, or capability count changes. The platform remains at 32 modules and 527 capability entries. The ten affected FRDs advance independently and reconcile to this MRD.</w:t>
      </w:r>
    </w:p>
    <w:p>
      <w:pPr>
        <w:pStyle w:val="Heading1"/>
      </w:pPr>
      <w:r>
        <w:t>6.6 24 October 2026 Field Access Contracts</w:t>
      </w:r>
    </w:p>
    <w:p>
      <w:pPr/>
      <w:r>
        <w:t>Area B Field Access is registered for invoices, credit notes, refunds, concessions, write-offs, credit transfers, payment plans, accounts, cost centres, journals, bank statements, reconciliations and finance setup values. Sensitive customer source references and statement balances ship closed. The refund bank-account choice has separate Read and Write control; branch reach still limits available accounts.</w:t>
      </w:r>
    </w:p>
    <w:p>
      <w:pPr/>
      <w:r>
        <w:t>Invoice and ledger export columns, filters and searches follow the same switches as screens. A value built from more than one protected field requires every governing Read switch. These controls deepen existing capabilities, so the count remains 527.</w:t>
      </w:r>
    </w:p>
    <w:p>
      <w:pPr>
        <w:pStyle w:val="Heading2"/>
      </w:pPr>
      <w:r>
        <w:t>6.7 25 October 2026 Procurement Field Access Contracts</w:t>
      </w:r>
    </w:p>
    <w:p>
      <w:r>
        <w:t>Area C registers procurement field decisions for stock, sourcing, vendors, contracts, orders, receipts, bills, credits, payments, settings and dashboards. Stock valuation and entered prices start open; RFQ budget estimates and vendor assessment notes start sensitive. The AP reconciliation receives a read-only report switch. Reads, writes, reports, exports, approval cards and local FinPro surfaces apply the source controls. Module states, ownership, priority gaps and the 527 capability entries stay unchanged.</w:t>
      </w:r>
      <w:r>
        <w:t xml:space="preserve"> Finance records only a generic purpose for a goods transfer, leaving stock details on the stock record.</w:t>
      </w:r>
    </w:p>
    <w:p>
      <w:pPr>
        <w:pStyle w:val="Heading1"/>
        <w:keepNext/>
        <w:keepLines/>
        <w:pBdr>
          <w:bottom w:val="single" w:sz="8" w:space="3" w:color="4472C4"/>
        </w:pBdr>
        <w:spacing w:before="80" w:after="80"/>
      </w:pPr>
      <w:r>
        <w:t>6.6 23 to 26 October 2026 Capability Contracts</w:t>
      </w:r>
    </w:p>
    <w:p>
      <w:r>
        <w:t>Leave now has one complete school contract: a direct-manager ladder provisioned without replacing a school's choices, a live working-day preview, subject-based organogram routing, Field Access on every read and approval surface, and attendance views that reveal only allowed leave facts.</w:t>
      </w:r>
    </w:p>
    <w:p>
      <w:r>
        <w:t>Identity now supports store-app origins and parent device sessions, keeps native refresh credentials in the phone keychain, recovers the immediately previous rotated credential inside a two-minute default grace window, and applies one product policy to self-service account closure and school review.</w:t>
      </w:r>
    </w:p>
    <w:p>
      <w:r>
        <w:t>Notifications resolve each school's email name and logo at delivery and send the same push message to browser subscriptions and Firebase phone devices. Account-closure notices and booked family-transfer notices use the same tenant, branch, preference, and Field Access boundaries as their records.</w:t>
      </w:r>
    </w:p>
    <w:p>
      <w:r>
        <w:t>Family fees are transfer-first by default. Owing and held credit are shown separately, each enrolled pupil receives a dedicated transfer account, family card payment is a school-wide option off by default, and invoices, receipts, and portals state which balance and payment method they show.</w:t>
      </w:r>
    </w:p>
    <w:p>
      <w:r>
        <w:t>Finance now explains and folds system-managed accounts, allocates safe account codes, reserves the default chart, routes hand journals through each school's editable route, counts a draft payslip in its own year to date, and applies held credit only to eligible same-branch receivables.</w:t>
      </w:r>
    </w:p>
    <w:p>
      <w:r>
        <w:t>The pupil and parent portals now have the backend contracts for native sign-in, phone push, release-version policy, refresh recovery, account closure, and transfer-first fees. The parent app also has a sliding school-configured device-session length. Store-app release and production evidence remain open.</w:t>
      </w:r>
    </w:p>
    <w:p>
      <w:r>
        <w:t>No module phase, ownership, priority order, or capability count changes. These behaviors deepen existing capability entries, so the tracker remains at 32 modules and 527 capability entries. The seventeen affected FRDs advance independently and reconcile to this MRD.</w:t>
      </w:r>
    </w:p>
    <w:p>
      <w:pPr/>
      <w:r>
        <w:t>Area D adds per-setting Field Access for 71 school settings and the staff leave-group assignment. Vocabulary and display values remain readable while their Write decisions are separate. School settings screens omit hidden values, refuse denied writes and preserve untouched values on partial saves. The school-owned payroll-scope switch sits beside the existing whole-school reach check. These controls deepen existing capabilities; the module count and capability count stay unchanged.</w:t>
      </w:r>
    </w:p>
    <w:p w14:paraId="2959541F" w14:textId="77777777" w:rsidR="00472341" w:rsidRDefault="00000000">
      <w:pPr>
        <w:keepNext/>
        <w:keepLines/>
        <w:pBdr>
          <w:bottom w:val="single" w:sz="8" w:space="3" w:color="4472C4"/>
        </w:pBdr>
        <w:spacing w:before="80" w:after="80"/>
      </w:pPr>
      <w:r>
        <w:t>Area E registers receipt, petty cash, platform issuer profile and entitlement-window Field Access. Alternate reads and writes, customer receipt export columns and filters, dashboard figures, configuration audit snapshots and the central mirror follow those decisions. Module ownership, backend and integration states, priority order and the 527 capability count remain unchanged; these controls deepen existing capabilities. The remaining recorded gaps are separate issuer identity sources, unaudited bank and vendor edits, unregistered GL posting and purchase-order payment-term export sources, and value-bearing service refusals.</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Area D school settings and staff leave-group Field Access while retaining the existing module and capability counts.</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2.117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30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Records Area E receipt, petty cash, issuer profile and entitlement Field Access, plus the affected export, dashboard and audit boundaries. Module and capability counts remain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Area D school settings and staff leave-group Field Access while retaining the existing module and capability counts.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23 to 26 October behavior batch across leave, role-grant state, native and parent sessions, refresh recovery, account closure, school-branded email, Firebase phone push, app-version policy, transfer-first family fees, chart guidance, hand-journal approval, held credit, receipt balances, and draft-payslip year to date. No module phase, ownership, priority order, or capability count changes; the tracker remains at 32 modules and 527 entries. Reconciled to M01 v1.35.1, M03 v1.25, M04 v1.43, M05 v1.13.1, M06 v1.12, M07 v1.28, M08 v1.20, M11 v2.18, M12 v2.22, M15 v1.1, M17 v1.15, M18 v1.20, M19 v1.24, M20 v1.13, M27 v1.2, M28 v1.5, and M30 v1.6.1.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25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C Procurement Field Access registers business field controls and closes report, dashboard, export and approval restatements. Sensitive RFQ budgets and vendor assessment notes start closed. Module states and 527 capability entries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B Field Access registers 103 receivables, journal, setup and banking switches. Invoice and ledger exports follow those switches, including values that need two. The refund bank-account choice has its own switch. Capability count and module states are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eight finance budget and seventeen report Field Access decisions. Budget plans, statement sections, exports, dashboards, and procurement budget restatements follow the reader's switches. The statutory pack refuses a closed required section. Capability count and module statuses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22 October contract batch across messaging receipts, staff-only reference and approval surfaces, names-only workflow trails and staff pickers, payroll documents, directional budget totals, account-bound bank-statement imports, expense claimants, claimant Field Access, and shared human labels. No module status, priority, ownership, build order, or capability count changes; the tracker remains at 32 modules and 527 entries. Reconciled to M01 v1.35, M03 v1.24.1, M04 v1.38, M06 v1.11, M07 v1.27, M10 v1.12, M12 v2.21, M19 v1.20, M22 v1.21, and M32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v2.115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v2.115</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2.115</cp:version>
</cp:coreProperties>
</file>