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2.13</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2.13</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14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Current backend codebase at a60670f (14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408</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v2.13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Stock gains its location dimension</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24</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22</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13</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17</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11</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now gated by a published ladder rather than one that was never created, and concessions and credit notes are gated at or above a configurable threshold. Below it they still post on one person's permission, which is the intended trade for small goodwill.</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campus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The finance, procurement and payout ladders are now published with a tenant's books; what remains is the checklist and the go-live states around them.</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campus, and a goods receipt lands at the receiving campus's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v2.13 Documentation Delta</w:t>
      </w:r>
    </w:p>
    <w:p w14:paraId="4C4A5E5A" w14:textId="77777777" w:rsidR="00472341" w:rsidRDefault="00000000">
      <w:pPr>
        <w:spacing w:after="100" w:line="240" w:lineRule="auto" w:before="0"/>
      </w:pPr>
      <w:r>
        <w:t>This revision records the stock location dimension. Module numbering and the status model are unchanged; Module 24 gains one capability and its needs-attention item narrows, and the M22-M24 branch-scoping priority gap narrows to procurement documents.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v2.13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Stock locations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Stock was one pool per entity. A school with two campuses held one balance and one average cost per item, so an issue at one campus could draw against stock physically standing at the other and the availability check allowed it, because it was measuring the entity total. A stock location is now a first-class record, entity-scoped with an optional campus, and a balance row holds the quantity and value of each item at each location.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Valuation per location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Changed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Weighted average is held per balance row. An issue is valued at the issuing location's average and a receipt folds its purchase price into that location alone, so one store's prices no longer move another's cost. The item's own totals remain as the roll-up across locations, so entity-level valuation and the inventory-account reconciliation are unchanged.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Single-store schools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Unaffected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Every entity is provisioned with a default location and a call that names none resolves to it, so a school with one store never has to think about locations. Where an entity has more than one, a movement that names none is refused rather than defaulted, because silently issuing from the wrong store is a quieter version of the bug locations exist to fix.</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Existing history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Migrated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A migration gives each stock-holding entity a MAIN location, opens a balance for every item that carries quantity or value, and stamps every past movement with that location. A school already running two campuses should create its second location and move the opening balances across as visible movements, rather than have a migration guess the split.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Capability entries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Increased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Module 24 gains stock locations and per-location balances, taking the document from 407 to 408.</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The per-tenant approval seeds and role provisioning now run when a tenant's books are created.</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v2.8</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2.8</cp:version>
</cp:coreProperties>
</file>