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2.55</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2.55</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1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change making the invoice Pay online control a working payment route, and resolving the hosted-checkout return address per environment instead of freezing it at settings import. In vs_finance and vs_payments. Verified with 678 vs_finance tests, 176 vs_payments tests, and 182 finance abstraction layer tests on 1 September 2026. Backend evidence only; nothing here is deployed.</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470</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v2.55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An invoice's Pay online control becomes a payment route, priced when the customer clicks it</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fal, vs_admin_console, vs_user, vs_rbac, vs_audit, vs_config, vs_notifications, vs_import_data, vs_workflow, vs_finance, vs_procurement, vs_payments, vs_exports, vs_todo, vs_tickets, and vs_health. The schools product carries vs_schools, vs_onboarding, vs_academics, vs_calendar and the finance abstraction layer under apps/schools/; the layer is mounted as the app fal because it owns one table, and it now carries URLs at v1/school-finance/ for linking a fee structure to a term and generating a cohort's invoices.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18</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13</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17</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17</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22</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25</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22</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16</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Commercial lifecycle controls,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p w14:paraId="68C28059" w14:textId="77777777" w:rsidR="00472341" w:rsidRDefault="00000000">
            <w:pPr>
              <w:spacing w:after="0"/>
            </w:pPr>
            <w:r>
              <w:rPr>
                <w:color w:val="000000"/>
                <w:sz w:val="16"/>
              </w:rPr>
              <w:t>▸  Authorised, expiring access to school branding files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val="0"/>
                <w:color w:val="000000"/>
                <w:sz w:val="16"/>
              </w:rPr>
              <w:t>NEEDS ATTENTION</w:t>
              <w:br/>
              <w:t>• School lifecycle is still incomplete. Implemented School and onboarding status transitions now close active impersonation sessions transactionally, and session start takes the same Tenant lock, so reactivation cannot revive an old proxy. Operator suspension, reactivation and recoverable soft delete for commercial reasons remain missing, and ordinary login-session revocation is still undefined.</w:t>
              <w:b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and both emails are queued after the row they carry commits rather than from inside its transaction. Account creation now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 reaching finance and procurement</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the school_admin and branch_admin prebuilt templates from a school-app data migration. Existing template rows, including deliberately deactivated ones, are preserved. Missing or unusable required templates now refuse school or branch creation instead of leaving a parent record with no administrator.</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p w14:paraId="35220B93" w14:textId="77777777" w:rsidR="00472341" w:rsidRDefault="00000000">
            <w:pPr>
              <w:spacing w:after="20"/>
              <w:ind w:left="86" w:hanging="86"/>
            </w:pPr>
            <w:r>
              <w:rPr>
                <w:sz w:val="16"/>
              </w:rPr>
              <w:t>• Bulk scheduling changes dates without rewriting an existing entitlement decision. An explicit denial rejects the whole batch, existing grants keep their source, and only a target with no row is created as a manual grant.</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Continue-without-approval remains available only where a document handler permits it. Payouts forbid it; permitted document types still rely on audit rather than a second reviewer.</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including Module 30 health alerts, bypass delivery preferences and use both channels.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asks to be activated and is activated by platform staff; a School that abandons the process is warned, expires, and can be put back by hand. Expiry and reinstatement now use the shared Tenant transition service, so a suspended School's active impersonation sessions are ended in the same transaction and stay ended after reinstatement.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Documented by M11 FRD v2.5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Two of the ten capabilities above are not evidenced and are why this module is Partial rather than Complete. Effective-dated structure changes: no model carries an effective_from, so a mid-year rename rewrites history rather than superseding it. And the class-subject-teacher assignment layer, which M13 FRD v2.5 withdrew deliberately - the teacher half has no permission key of its own and waits for Module 12, which leaves the timetable slot as the first and only place a person is bound to a subject. Academics-specific bulk import is also unbuilt.</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sz w:val="16"/>
              </w:rPr>
              <w:t>• The invoice pay link is served end to end by the backend, but the page it addresses belongs to the public application and is not built. Until it is, a customer clicking Pay online reaches nothing.</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b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60" w:before="0" w:line="240" w:lineRule="auto"/>
            </w:pPr>
            <w:r>
              <w:rPr>
                <w:rFonts w:ascii="Aptos Narrow" w:hAnsi="Aptos Narrow"/>
                <w:b/>
                <w:color w:val="A86800"/>
                <w:sz w:val="17"/>
              </w:rPr>
              <w:t>CURRENT DECISION</w:t>
            </w:r>
          </w:p>
          <w:p w14:paraId="353E0304" w14:textId="77777777" w:rsidR="00472341" w:rsidRDefault="00000000">
            <w:pPr>
              <w:spacing w:after="40" w:before="0" w:line="240" w:lineRule="auto"/>
              <w:ind w:left="86" w:hanging="86"/>
            </w:pPr>
            <w:r>
              <w:rPr>
                <w:rFonts w:ascii="Aptos Narrow" w:hAnsi="Aptos Narrow"/>
                <w:b w:val="0"/>
                <w:color w:val="000000"/>
                <w:sz w:val="16"/>
              </w:rPr>
              <w:t>• New export runs use short XR-&lt;tenant_id&gt;&lt;YYMMDD&gt;&lt;n&gt; references from the shared locked tenant sequence. The counter is unpadded and restarts for each tenant and day; the tenant id and date keep the full reference globally unique.</w:t>
            </w:r>
          </w:p>
          <w:p>
            <w:pPr>
              <w:spacing w:before="0" w:after="40" w:line="240" w:lineRule="auto"/>
            </w:pPr>
            <w:r>
              <w:rPr>
                <w:rFonts w:ascii="Aptos Narrow" w:hAnsi="Aptos Narrow"/>
                <w:b w:val="0"/>
                <w:color w:val="000000"/>
                <w:sz w:val="16"/>
              </w:rPr>
              <w:t>• Counter allocation and run insertion share one transaction, so a rejected run does not consume a reference. Existing RUN- values remain unchanged.</w:t>
            </w:r>
          </w:p>
          <w:p>
            <w:pPr>
              <w:spacing w:before="0" w:after="40" w:line="240" w:lineRule="auto"/>
            </w:pPr>
            <w:r>
              <w:rPr>
                <w:rFonts w:ascii="Aptos Narrow" w:hAnsi="Aptos Narrow"/>
                <w:b w:val="0"/>
                <w:color w:val="000000"/>
                <w:sz w:val="16"/>
              </w:rPr>
              <w:t>• Module 26 remains Backend Complete and In use Complete with 16 capability entries and no identified material gap. Focused verification passed 15 ExportRun tests and 9 branch-scope tests. The wider fail-fast run stopped after 38 tests on the unrelated uncommitted school.students dataset, which has no locked column.</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school-facing billing. The finance side of that wait is now shorter: the finance abstraction layer gives these modules a typed contract over billing, payments and procurement, so they no longer need the finance schema. Academic structure and the calendar are built; students and staff are not, and the parent portal's ownership check has nothing to consult until they are.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v2.55 Capability Delta</w:t>
      </w:r>
    </w:p>
    <w:p w14:paraId="4C4A5E5A" w14:textId="77777777" w:rsidR="00472341" w:rsidRDefault="00000000">
      <w:pPr>
        <w:spacing w:after="100" w:line="240" w:lineRule="auto" w:before="0"/>
      </w:pPr>
      <w:r>
        <w:rPr>
          <w:rFonts w:ascii="Aptos Narrow" w:hAnsi="Aptos Narrow"/>
          <w:b w:val="0"/>
          <w:color w:val="000000"/>
          <w:sz w:val="18"/>
        </w:rPr>
        <w:t>This revision records the invoice Pay online control becoming a way to pay. It carried the address a payer returns to after paying, so it was never a payment route, and on staging that address resolved to localhost. It now carries a signed link to a pay page that creates the checkout when the customer opens it, for the balance outstanding at that moment.</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blHeader w:val="true"/>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v2.55 capability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Invoice Pay online control</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Now a payment route</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It carried PAYMENTS_CALLBACK_URL, the post-payment return address, so clicking it could never pay anything. It now carries a signed link to that invoice's pay page. Module 17 gains one capability entry, taking the document to 470.</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Amount on a pay link</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Priced at the click</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checkout is created when the customer opens the link, for the balance then outstanding, so a part payment made after the email went out reduces what is asked for and a settled invoice can no longer be charged.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Checkout return address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per environment</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setting was defaulted from an f-string over FRONTEND_BASE_URL in the base settings, which every environment overrides only after importing base, so it froze at localhost. It is derived on each call now.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Repeat clicks on a pay link</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Reused, not duplicated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checkout started within the last fifteen minutes for the same balance is handed back, so a refresh cannot leave two live ways to pay the same money.</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Student Management is built, so Staff Management is now the one that gates the rest. Academic Structure is built and Timetable &amp; Calendar now stands on it; Staff Management is the one that most limits what Timetable can check, because a teacher is currently a role grant rather than a person with hours, a specialism, and a qualification.</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v2.50</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v2.50</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2.50</cp:version>
</cp:coreProperties>
</file>