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9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Product statement moving Module 25 to In use Complete, on the owner's report that dashboards are in use across accounts. Backend state unchanged (9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492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v2.74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Module 25 is in use across accounts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21</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v1.0.</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Five current gaps are recorded in the FRD rather than here. The first is the shape of the module rather than an oversight: a setting a school ought to own for itself has no route, and one would have to be introduced deliberately.</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br/>
              <w:t>• Import notifications are the module's own rows and are not dispatched through Module 8. There is no email, no bell entry and no delivery record, and the feed requires a platform key, so the school administrator who started an import cannot read the notice about it.</w:t>
              <w:br/>
              <w:t>• A run cannot be stopped once it has started. Cancellation covers only the statuses before execution and the row loop checks nothing, so a long import of a wrong file must finish and then be rolled back.</w:t>
              <w:br/>
              <w:t>• Execution reads the batch's stored preview rows with no streaming path, so the practical file size is bounded by one JSON column and one in-memory list. No limit is stated or enforced.</w:t>
              <w:b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v1.0.</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v2.74 Capability Delta</w:t>
      </w:r>
    </w:p>
    <w:p w14:paraId="4C4A5E5A" w14:textId="77777777" w:rsidR="00472341" w:rsidRDefault="00000000">
      <w:pPr>
        <w:spacing w:after="100" w:line="240" w:lineRule="auto" w:before="0"/>
      </w:pPr>
      <w:r>
        <w:rPr>
          <w:rFonts w:ascii="Aptos Narrow" w:hAnsi="Aptos Narrow"/>
          <w:b w:val="0"/>
          <w:color w:val="000000"/>
          <w:sz w:val="18"/>
        </w:rPr>
        <w:t>This revision changes one status on the product owner's statement rather than on backend evidence. Module 25's dashboards are in use across accounts; the academic half of them is still unbuilt, and its backend state is unchanged.</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v2.74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25 In use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to Complete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on the product owner's report that dashboards are in use across accounts. Adoption is not something backend evidence can establish, so the source of this change is stated rather than implied.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25 Backend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Unchanged at Partial</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academic half of the school still has no dashboard, because the modules that would produce one are planned rather than built. Nothing about that has changed.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M25 FRD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Patched to v1.1</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sentence said 'the module is Partial', which was unambiguous while both columns read Partial. It now names the backend explicitly, so the two documents cannot be read as disagreeing.</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v2.74</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v2.74</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2.74</cp:version>
</cp:coreProperties>
</file>