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Exited people: </w:t>
      </w:r>
      <w:r>
        <w:t>Resolvable person summaries expose an explicit exited flag. Historical records keep the person named after deactivation, and consumers mark departure from that flag rather than guessing from account status, a missing image, or free text.</w:t>
      </w:r>
    </w:p>
    <w:p>
      <w:pPr>
        <w:keepLines/>
      </w:pPr>
      <w:r>
        <w:t xml:space="preserve">• </w:t>
      </w:r>
      <w:r>
        <w:rPr>
          <w:b/>
        </w:rPr>
        <w:t xml:space="preserve">Boundary: </w:t>
      </w:r>
      <w:r>
        <w:t>Bulk identity resolution remains bounded and domain-neutral. Free-text historical names remain unmarked when no unique account can be resolved.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v1.21</dc:title>
  <cp:lastModifiedBy>Chidera Ohiaekpete</cp:lastModifiedBy>
  <cp:revision>1</cp:revision>
  <cp:lastPrinted>2026-07-17T18:03:00Z</cp:lastPrinted>
  <dcterms:created xsi:type="dcterms:W3CDTF">2026-07-17T18:03:00Z</dcterms:created>
  <dcterms:modified xsi:type="dcterms:W3CDTF">2026-08-19T12:00:00Z</dcterms:modified>
  <cp:version>1.21</cp:version>
</cp:coreProperties>
</file>