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7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2"/>
      </w:pPr>
      <w:r>
        <w:t>D83-D102 Current Contracts</w:t>
      </w:r>
    </w:p>
    <w:p>
      <w:pPr/>
      <w:r>
        <w:t>These contracts state current behavior at the committed evidence boundary and replace an earlier sentence wherever the two disagree.</w:t>
      </w:r>
    </w:p>
    <w:p>
      <w:r>
        <w:t>AuditEvent and FinanceAuditLog carry the branch of the document they describe. A branch-bound reader sees only entries for their branches in lists, details, facets, counts, dashboards, CSV exports and Export Centre datasets. Finance or procurement events with no branch are whole-tenant only; unrelated tenant events such as sign-in and role changes retain their prior reach.</w:t>
      </w:r>
    </w:p>
    <w:p>
      <w:r>
        <w:t>Whole-tenant documents booked per branch, including payroll, tax and depreciation, emit one finance audit entry per branch share. Settings, fiscal years, year close, contracts and dunning remain whole-tenant records.</w:t>
      </w:r>
    </w:p>
    <w:p>
      <w:r>
        <w:t>Payroll before and after values pass through field access, and mirrored salary audit summaries contain no pay figures. Date and time wording throughout audit and record history follows the tenant display contract.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Append-only evidence: </w:t>
      </w:r>
      <w:r>
        <w:t>Database guards refuse updates and deletes on the platform audit trail. Retained financial and approval evidence therefore cannot be rewritten through an application path or a direct model delete.</w:t>
      </w:r>
    </w:p>
    <w:p>
      <w:pPr>
        <w:keepLines/>
      </w:pPr>
      <w:r>
        <w:t xml:space="preserve">• </w:t>
      </w:r>
      <w:r>
        <w:rPr>
          <w:b/>
        </w:rPr>
        <w:t xml:space="preserve">Exited actors: </w:t>
      </w:r>
      <w:r>
        <w:t>Audit actor payloads carry the explicit exited flag when the actor resolves to a staff account, while historical display names remain intact.</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v2.93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v2.93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1.11</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7 October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1.10</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 Oct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1.9</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30 Sep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cp:coreProperties>
</file>