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1.16</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Readable sources: </w:t>
      </w:r>
      <w:r>
        <w:t>Notification records carry source_module_label beside the stored module key, so product screens do not have to expose internal codes.</w:t>
      </w:r>
    </w:p>
    <w:p>
      <w:pPr>
        <w:keepLines/>
      </w:pPr>
      <w:r>
        <w:t xml:space="preserve">• </w:t>
      </w:r>
      <w:r>
        <w:rPr>
          <w:b/>
        </w:rPr>
        <w:t xml:space="preserve">Delivery evidence: </w:t>
      </w:r>
      <w:r>
        <w:t>Financial retention and returned-document changes do not infer delivery. Notification history remains a delivery record under its existing access rules.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1.15</cp:version>
  <dc:title>XVS M08 Notifications and Delivery Functional Requirements Document v1.15</dc:title>
</cp:coreProperties>
</file>