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Import permission stability: </w:t>
      </w:r>
      <w:r>
        <w:t>Import permission reconciliation preserves school removals from default roles. Import routes continue to use their dataset keys and do not regain access through a later seed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1.8</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cp:coreProperties>
</file>