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br/>
              <w:t>Module 20: Adjustments &amp; Concessions</w:t>
              <w:br/>
              <w:t>XVision Systems | Code-aligned functional baseline</w:t>
              <w:br/>
              <w:t>Prepared by: CodeX Team     Version: 1.9</w:t>
            </w:r>
          </w:p>
          <w:p w14:paraId="2ACCFD99" w14:textId="77777777" w:rsidR="00A62A3E" w:rsidRDefault="00000000">
            <w:pPr>
              <w:spacing w:after="100"/>
            </w:pPr>
            <w:r>
              <w:rPr>
                <w:rFonts w:ascii="Aptos Display" w:hAnsi="Aptos Display"/>
                <w:b/>
                <w:color w:val="FFFFFF"/>
                <w:sz w:val="28"/>
              </w:rPr>
            </w:r>
          </w:p>
          <w:p w14:paraId="1529A389" w14:textId="77777777" w:rsidR="00A62A3E" w:rsidRDefault="00000000">
            <w:pPr>
              <w:spacing w:after="180"/>
            </w:pPr>
            <w:r>
              <w:rPr>
                <w:color w:val="FFFFFF"/>
                <w:sz w:val="20"/>
              </w:rPr>
            </w:r>
          </w:p>
          <w:p w14:paraId="79738726" w14:textId="77777777" w:rsidR="00A62A3E" w:rsidRDefault="00000000">
            <w:pPr>
              <w:spacing w:after="0"/>
            </w:pPr>
            <w:r>
              <w:rPr>
                <w:b/>
                <w:color w:val="FFFFFF"/>
                <w:sz w:val="19"/>
              </w:rPr>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1.9</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pPr>
        <w:pStyle w:val="Heading2"/>
      </w:pPr>
      <w:r>
        <w:t>D83-D102 Current Contracts</w:t>
      </w:r>
    </w:p>
    <w:p>
      <w:pPr/>
      <w:r>
        <w:t>These contracts state current behavior at the committed evidence boundary and replace an earlier sentence wherever the two disagree.</w:t>
      </w:r>
    </w:p>
    <w:p>
      <w:r>
        <w:t>A receipt never settles another customer's invoice. Customer credit moves between customers only through an approved and audited CustomerCreditTransfer, and every credit, concession, refund and write-off stays within its branch.</w:t>
      </w:r>
    </w:p>
    <w:p>
      <w:r>
        <w:t>Concession approval uses the cumulative amount per invoice and per customer in the billing period; the tenant threshold defaults to N10,000 and requires a second person above it.</w:t>
      </w:r>
    </w:p>
    <w:p>
      <w:r>
        <w:t>Credit notes and receivable moves unwind unreleased deferred income before earned income. Deposit credits can offset unpaid bills only when tenant policy permits it.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Moved-bill adjustments: </w:t>
      </w:r>
      <w:r>
        <w:t>A credit note or concession reduces the branch that booked each revenue, deferred-income, and output-tax share. A write-off is borne by the branch holding the debt, while the old branch keeps earned income still owed to it.</w:t>
      </w:r>
    </w:p>
    <w:p>
      <w:pPr>
        <w:keepLines/>
      </w:pPr>
      <w:r>
        <w:t xml:space="preserve">• </w:t>
      </w:r>
      <w:r>
        <w:rPr>
          <w:b/>
        </w:rPr>
        <w:t xml:space="preserve">Correction and return: </w:t>
      </w:r>
      <w:r>
        <w:t>A returned concession can be corrected by its sender and resumed through the same request. Adjustment lists expose sent-back state, readable kind labels, and active counts that match their tabs.</w:t>
      </w:r>
    </w:p>
    <w:p>
      <w:pPr>
        <w:keepLines/>
      </w:pPr>
      <w:r>
        <w:t xml:space="preserve">• </w:t>
      </w:r>
      <w:r>
        <w:rPr>
          <w:b/>
        </w:rPr>
        <w:t xml:space="preserve">Voiding: </w:t>
      </w:r>
      <w:r>
        <w:t>Voiding a moved-bill adjustment restores allocations and the paired inter-branch transfer together; the transfer cannot be voided alone.</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1.8</cp:version>
  <dc:title>XVS M20 Adjustments and Concessions Functional Requirements Document v1.8</dc:title>
</cp:coreProperties>
</file>