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1.17</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1.17</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Every requisition names one: a caller pinned to one branch defaults to it, while a caller reaching several must choose. Approval and every continuation follow the document's branch.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pPr>
        <w:pStyle w:val="Heading2"/>
      </w:pPr>
      <w:r>
        <w:t>Current Functional Contracts</w:t>
      </w:r>
    </w:p>
    <w:p>
      <w:pPr/>
      <w:r>
        <w:t>These contracts state the current behavior at the code baseline and govern where an earlier sentence in this document describes an older rule.</w:t>
      </w:r>
    </w:p>
    <w:p>
      <w:r>
        <w:t>Procurement settings and shared catalogue items require whole-school reach to change. A branch-bound holder reads them and receives 403 SHARED_RECORD_READ_ONLY on a write.</w:t>
      </w:r>
    </w:p>
    <w:p>
      <w:r>
        <w:t>Procurement activity preserves real and effective actors during impersonation. Quotations, RFQ deadlines, awarded orders, stock movements and restock requisitions use the owning branch's day.</w:t>
      </w:r>
    </w:p>
    <w:p>
      <w:pPr>
        <w:pStyle w:val="Heading2"/>
      </w:pPr>
      <w:r>
        <w:t>D83-D102 Current Contracts</w:t>
      </w:r>
    </w:p>
    <w:p>
      <w:pPr/>
      <w:r>
        <w:t>These contracts state current behavior at the committed evidence boundary and replace an earlier sentence wherever the two disagree.</w:t>
      </w:r>
    </w:p>
    <w:p>
      <w:r>
        <w:t>Every requisition, standalone RFQ, restock draft and procurement transaction names a branch. A pinned caller defaults to their branch; a caller with several branches must choose one. Shared vendors and catalogue items remain tenant-wide, and procurement reports count only documents in the reader's branch reach.</w:t>
      </w:r>
    </w:p>
    <w:p>
      <w:r>
        <w:t>The school FAL raises requisitions through the caller's grants and requires a branch whenever there is a choice. Order, receipt, bill and payment continuations verify the caller reaches the existing document.</w:t>
      </w:r>
    </w:p>
    <w:p>
      <w:r>
        <w:t>Supplier corrections and goods returns feed sourcing, spend and GR/IR reports. Inter-branch stock movement is an inventory transfer rather than a branchless procurement transaction.</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Shared sourcing: </w:t>
      </w:r>
      <w:r>
        <w:t>Complete requisition lines from several branches can enter one vendor-facing RFQ. Award creates one purchase order per participating branch, and every new order has a real branch.</w:t>
      </w:r>
    </w:p>
    <w:p>
      <w:pPr>
        <w:keepLines/>
      </w:pPr>
      <w:r>
        <w:t xml:space="preserve">• </w:t>
      </w:r>
      <w:r>
        <w:rPr>
          <w:b/>
        </w:rPr>
        <w:t xml:space="preserve">One live sourcing: </w:t>
      </w:r>
      <w:r>
        <w:t>A requisition line may sit on only one live RFQ, shared RFQ, or uncancelled purchase order. Cancellation or closure without award frees it, and award hands each ordered line to the resulting order.</w:t>
      </w:r>
    </w:p>
    <w:p>
      <w:pPr>
        <w:keepLines/>
      </w:pPr>
      <w:r>
        <w:t xml:space="preserve">• </w:t>
      </w:r>
      <w:r>
        <w:rPr>
          <w:b/>
        </w:rPr>
        <w:t xml:space="preserve">Returned procurement: </w:t>
      </w:r>
      <w:r>
        <w:t>Returned requisitions, orders, bills, payments, and vendor credit notes remain inside their open approval request. Only the sender may correct them; resume reruns pricing, matching, settlement, and delivery checks.</w:t>
      </w:r>
    </w:p>
    <w:p>
      <w:pPr>
        <w:keepLines/>
      </w:pPr>
      <w:r>
        <w:t xml:space="preserve">• </w:t>
      </w:r>
      <w:r>
        <w:rPr>
          <w:b/>
        </w:rPr>
        <w:t xml:space="preserve">Safe editing and pickers: </w:t>
      </w:r>
      <w:r>
        <w:t>RFQ and requisition edits preserve line links by id, free-line filters use the same live-sourcing rule, and pickers omit lines already taken without adding a query per line.</w:t>
      </w:r>
    </w:p>
    <w:p>
      <w:pPr>
        <w:keepLines/>
      </w:pPr>
      <w:r>
        <w:t xml:space="preserve">• </w:t>
      </w:r>
      <w:r>
        <w:rPr>
          <w:b/>
        </w:rPr>
        <w:t xml:space="preserve">Branch and reference contracts: </w:t>
      </w:r>
      <w:r>
        <w:t>Every document is checked against its own branch month. Finance account, tax, cost-centre, and customer references follow the shared number-is-id and string-is-code rule.</w:t>
      </w:r>
    </w:p>
    <w:p>
      <w:pPr>
        <w:keepLines/>
      </w:pPr>
      <w:r>
        <w:t xml:space="preserve">• </w:t>
      </w:r>
      <w:r>
        <w:rPr>
          <w:b/>
        </w:rPr>
        <w:t xml:space="preserve">Readable operations: </w:t>
      </w:r>
      <w:r>
        <w:t>Lists expose approval_returned, display status, human refusals, labels, matching counts, and the Partly received export path.</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v2.93.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1.16</cp:version>
</cp:coreProperties>
</file>