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1.17</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1.17</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Branch-owned orders: </w:t>
      </w:r>
      <w:r>
        <w:t>A shared sourcing award produces separate purchase orders by branch, and every order, receipt, bill, payment, return, and close check keeps that branch through the payables chain.</w:t>
      </w:r>
    </w:p>
    <w:p>
      <w:pPr>
        <w:keepLines/>
      </w:pPr>
      <w:r>
        <w:t xml:space="preserve">• </w:t>
      </w:r>
      <w:r>
        <w:rPr>
          <w:b/>
        </w:rPr>
        <w:t xml:space="preserve">Returned documents: </w:t>
      </w:r>
      <w:r>
        <w:t>Returned orders, vendor invoices, vendor payments, and vendor credit notes are corrected only by their sender and resumed through the existing workflow instance. An open approval prevents cancellation through a competing path.</w:t>
      </w:r>
    </w:p>
    <w:p>
      <w:pPr>
        <w:keepLines/>
      </w:pPr>
      <w:r>
        <w:t xml:space="preserve">• </w:t>
      </w:r>
      <w:r>
        <w:rPr>
          <w:b/>
        </w:rPr>
        <w:t xml:space="preserve">Evidence retention: </w:t>
      </w:r>
      <w:r>
        <w:t>Removing an attachment from a non-draft supplier bill or payment requires a reason and marks it superseded. The stored file and history remain available through the authorised evidence view.</w:t>
      </w:r>
    </w:p>
    <w:p>
      <w:pPr>
        <w:keepLines/>
      </w:pPr>
      <w:r>
        <w:t xml:space="preserve">• </w:t>
      </w:r>
      <w:r>
        <w:rPr>
          <w:b/>
        </w:rPr>
        <w:t xml:space="preserve">WHT and status reads: </w:t>
      </w:r>
      <w:r>
        <w:t>Vendor-payment WHT can be recomputed after correction, vendor credit-note detail identifies its approval request, and lists expose returned and display states with readable labels.</w:t>
      </w:r>
    </w:p>
    <w:p>
      <w:pPr>
        <w:keepLines/>
      </w:pPr>
      <w:r>
        <w:t xml:space="preserve">• </w:t>
      </w:r>
      <w:r>
        <w:rPr>
          <w:b/>
        </w:rPr>
        <w:t xml:space="preserve">Reference safety: </w:t>
      </w:r>
      <w:r>
        <w:t>Procurement account, tax-code, customer, and cost-centre references share the code-or-id resolver, so numeric codes do not collide with unrelated primary keys.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v2.93.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1.16</cp:version>
  <dc:title>XVS M23 Purchase Orders Delivery and AP Functional Requirements Document v1.16</dc:title>
</cp:coreProperties>
</file>