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2.100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2.100</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v2.95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v1.32.</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v1.5.</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v2.100 Capability Delta</w:t>
      </w:r>
    </w:p>
    <w:p w14:paraId="4C4A5E5A" w14:textId="77777777" w:rsidR="00472341" w:rsidRDefault="00000000">
      <w:pPr>
        <w:spacing w:after="100" w:line="240" w:lineRule="auto" w:before="0"/>
      </w:pPr>
      <w:r>
        <w:t>This revision reconciles committed queue D103 to D132, including the four follow-up commits recorded under D131. It expands existing capability contracts and closes recorded finance and procurement gaps without changing the 31-module taxonomy or status model.</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v2.95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profile visibility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entry strengthened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member of staff opens any colleague from the chart. The school's policy decides what the person, the line above them through main, acting and dotted posts, and any other colleague read; a reader whose keys reach the person reads as their role allows; the contact card always shows; Field Access stays the ceiling. The count stays at 11.</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and the directory key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default changed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no longer holds school.teachers.view, in the library and every school's native Teacher role (vs_rbac 0030); the profile policy decides what a teacher reads.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staff record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/v1/i/me/staff/mine/ finds the caller's record, so a person holding no staff key reaches it, applies for leave and corrects their photograph, middle name, date of birth and phone.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correction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document's file asks school.staff_records.view, the key its tab asks; it had opened on the directory key.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confirmed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school.organogram sits in Core in the plan map, confirmed by the owner on 28 September 2026. A branch-bound reader's summary counts their branches while the chart stays whole.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v1.30, M12 v2.15.</w:t>
            </w:r>
          </w:p>
        </w:tc>
      </w:tr>
    </w:tbl>
    <w:p>
      <w:pPr>
        <w:pStyle w:val="Heading2"/>
      </w:pPr>
      <w:r>
        <w:t>Current Capability Contracts</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D83-D102 Current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D103-D132 Current Capability Contracts</w:t>
      </w:r>
    </w:p>
    <w:p>
      <w:r>
        <w:t>The current backend contract through b3888c1b is: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