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1.21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1.21</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23 October 2026: Area A Field Access for budgets and financial statements. Full backend suite (15,098 tests) and focused frontend checks passed. No frontend deployment 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2.112</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r>
              <w:t xml:space="preserve"> The report resource registers seventeen read-only sections. JSON and CSV, XLSX and PDF exports omit closed sections. Income, balance sheet and cash flow can return safe partial statements; trial balance, equity, analysis and reconciliation refuse access when their only section is closed. A statutory pack requires every included section.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r>
              <w:t xml:space="preserve"> A hidden statement section has no values in JSON or export. A closed required section refuses the statutory pack with 403. tests_budget_report_field_access covers the alternate formats and partial statements.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r>
              <w:t xml:space="preserve"> Eight budget fields now govern names, year, status, approval date, line coordinates, sensitive planned amount, ledger actual and derived variance. Create, rename and line endpoints enforce writes; list, detail, variance, heatmap, roll-up and dashboard restatements enforce reads.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r>
              <w:t xml:space="preserve"> A reader without planned-amount Read sees no line amount, planned total, heatmap cell or derived ratio; one without Write cannot create or replace amount-bearing lines. tests_budget_report_field_access covers the default-closed and granted paths.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pStyle w:val="Heading2"/>
        <w:keepNext/>
        <w:pBdr>
          <w:bottom w:val="single" w:sz="8" w:space="5" w:color="355B9D"/>
        </w:pBdr>
      </w:pPr>
      <w:r>
        <w:t>FR-026  Reconcile Payroll, Budgets, Bank Imports, Claims, and Human Labels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FR-026  Reconcile Payroll, Budgets, Bank Imports, Claims, and Human Labels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Keep the current finance contracts for payroll documents, directional budget totals, bank-statement entry, expense claimants, and human-readable person labels in one reconciled requirement.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Existing payslip, report, bank-account import, expense-claim, audit, and dashboard keys remain. finance.expenseclaim.claimant adds Read and Write Field Access over claimant_id, claimant_name, and claimant; it is open by default and not open on create.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A bank import starts from an account resolved inside tenant, entity, and branch reach. A claimant id resolves through the payroll person resolver inside the entity's tenant. Budget headlines count the direction the plan budgets, while rows of the other direction remain visible without changing the headline.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redesigned payslip and tax summary use WeasyPrint with the ReportLab fallback described by Module 12. A spending plan totals spending; an income-only plan totals income. Expense claims accept claimant as an account id and copy claimant_name; when no person is supplied a typed claimant_name is required. Unknown, malformed, foreign, and non-staff ids share one 400 refusal. Migration 0076 links no old claim, so its typed name remains. Claimant Field Access reaches searches, both exports, approval cards, and the spending dashboard; older frozen approval cards keep their saved name. Human labels use first and last names and fall back to email only for an unnamed account. Finance audit carries actor_name beside actor email and orders filter options by name.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An unbudgeted fee-income row remains in a spending report but does not inflate actual spending or the consumed share. A claim can select a current employee and rejects another school's account without revealing it. Hiding claimant removes it from every alternate read and blocks writes. A finance audit distinguishes two Ada Okafors by retaining their emails. Tests: vs_finance.tests_payslip_document, vs_finance.tests, vs_finance.test_statement_import_wizard, vs_finance.tests_expense_claim_claimant, vs_finance.tests_field_access_deep_payload, and vs_finance.tests_people_named.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Older expense claims remain typed names because the migration deliberately guesses no identity. ReportLab remains a fallback where the HTML renderer's native libraries are unavailable.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r>
        <w:t xml:space="preserve"> Budgets and financial statements also have explicit field decisions. Planned amounts start closed; report sections start open. Derived comparisons require every source figure they reveal.</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v2.112.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bl>
    <w:p w:rsidR="00A62A3E" w:rsidRDefault="00000000">
      <w:pPr>
        <w:keepLines/>
        <w:spacing w:after="120"/>
      </w:pPr>
      <w:r>
        <w:t>All 26 entries are traced above. Module number, name, phase, backend and in-use states and code ownership agree with MRD v2.112,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r>
      <w:tr>
        <w:tc>
          <w:tcPr>
            <w:tcW w:type="dxa" w:w="1200"/>
          </w:tcPr>
          <w:p>
            <w:r>
              <w:t>1.21</w:t>
            </w:r>
          </w:p>
        </w:tc>
        <w:tc>
          <w:tcPr>
            <w:tcW w:type="dxa" w:w="1600"/>
          </w:tcPr>
          <w:p>
            <w:r>
              <w:t>23 October 2026</w:t>
            </w:r>
          </w:p>
        </w:tc>
        <w:tc>
          <w:tcPr>
            <w:tcW w:type="dxa" w:w="7668"/>
          </w:tcPr>
          <w:p>
            <w:r>
              <w:t>Adds budget and financial-statement Field Access contracts, including sensitive planned amounts, separate statement sections, safe partial reports, export parity and statutory-pack refusal. Aligns with MRD v2.112. Backend and local frontend evidence only.</w:t>
            </w:r>
          </w:p>
        </w:tc>
      </w:tr>
      <w:tr>
        <w:tc>
          <w:tcPr>
            <w:tcW w:type="dxa" w:w="1200"/>
          </w:tcPr>
          <w:p>
            <w:r>
              <w:t>1.20</w:t>
            </w:r>
          </w:p>
        </w:tc>
        <w:tc>
          <w:tcPr>
            <w:tcW w:type="dxa" w:w="1600"/>
          </w:tcPr>
          <w:p>
            <w:r>
              <w:t>23 October 2026</w:t>
            </w:r>
          </w:p>
        </w:tc>
        <w:tc>
          <w:tcPr>
            <w:tcW w:type="dxa" w:w="7668"/>
          </w:tcPr>
          <w:p>
            <w:r>
              <w:t>Reconciles payroll documents, directional budget totals, bank-statement entry, expense claimants, claimant Field Access, and human labels. Aligns with MRD v2.111.</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r>
        <w:tc>
          <w:tcPr>
            <w:tcW w:type="dxa" w:w="1200"/>
          </w:tcPr>
          <w:p>
            <w:r>
              <w:t>1.18</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p/>
    <w:p/>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v1.20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v1.20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1.20</cp:version>
</cp:coreProperties>
</file>