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&amp; Accounting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1.0</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13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v2.9.1 | Module 19</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vs_tenants, vs_rbac, vs_audit, vs_workflow, vs_exports, vs_import_data; consumed by vs_payments and vs_procurement</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Where postings are guarded, money units,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Journal, period, and sub-cycle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income statement, balance sheet, cash flow, changes in equity, the statutory pack, analytics slices, and the dashboard.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statement import, matching, split and group matches, adjusting journals, and reconciliation completion.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plans with an approval lock and variance reporting, and fixed assets with straight-line depreciation and disposal.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seed_finance_permissions across some thirty resources, enforced on every view. The keys that can alter the books without a document behind them are CRITICAL.</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Import statements,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finance.bankaccount.*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finance.payrollrun.*, finance.salary.*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ledger entity has its own chart of accounts, and services that need a control account find it by code rather than by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with a customised chart fails loudly with a clear missing-account error rather than posting into the wrong place.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 journal may post unbalanced, and none may post into a period that is not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journal can be raised, submitted, posted, and reversed, with the reversal recorded rather than the original edited.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Journals carry a submit, post, and reverse endpoint; direct entries post in one step behind a CRITICAL key. Posting maintains the denormalised account balances the reports read.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posted journal is never edited in place: a correction is a reversal and a new entry, so the history of what the books said remains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transaction must be refusable when it could not have happened on the date it claims.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Sealing a period must run integrity checks and post what the close owes before the period locks.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 and GR/IR reconciliations are supplied by procurement through extra_checks rather than imported, keeping the dependency one-way. Reopen and lock are separate, permissioned actions.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is finance-native by design, so a caller that forgets to pass procurement's checks closes without them.</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standard statements must be cheap to produce and must always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Reports read the denormalised account balances that posting maintains rather than re-summing the journal. Trial balance, income statement, balance sheet, cash flow, changes in equity, the statutory pack, analytics slices, and a dashboard are all served this way.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double-entry ledger over a balanced set of postings always balances, and the trial balance demonstrates it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balance corrupted outside the posting service would be believed by the reports; the balances are a cache maintained at the one write point.</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difference between the ledger's cash balance and the bank's must be explainable.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statement amount is signed from the platform's perspective and a ledger cash line's signed contribution is debit minus credit, so a match is an equality rather than a judgement. Auto-reconcile proposes; it does not post.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entity's debt to an employee who spent their own money must be recognised when incurred and cleared when repaid.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claim debits the expenses and any recoverable input VAT and credits accrued reimbursement; settling debits accrued reimbursement and credits bank. Claims can also be rejected or voided, and line receipts attached.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liability exists between the two postings, so an unpaid claim is visible on the balance sheet rather than only in a queue.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physical cash float must move through the ledger as it is spent, and must not be able to overdraw.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fund cannot silently drift from the ledger, because it is re-derived rather than incremented. A voucher exceeding the float is refused.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Payroll cost is incurred before the cash leaves, and the statutory deductions are held in between.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is owed to an authority must be derived from the ledger, not retyped.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worksheet posts nothing; the amount is reproducible from the GL at any time.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that actuals are measured against must not be rewritten after the fact.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Budgets hold lines per account and period and never post to the ledger. Approving one locks it. Variance and heatmap views compare it against actuals.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disappointing variance cannot be quietly fixed by editing the budget, because approval is the lock.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capital asset is recognised at cost and expensed over its useful life without losing the original cost.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changed the books, and what they changed, must be readable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Gateway actions in Module 18 keep their own append-only trail, so the two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must not discover on the day that it has no open period to post into.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fiscal-calendar runway warning surfaces when the defined periods are close to exhausted.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warning is derived from the calendar, so it needs no separate bookkeeping to stay true.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One entity's ledger must never be readable or writable by another.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endpoint resolves the entity from the request and filters on it, and reports traverse an entity-scoped parent rather than starting from a global queryset.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Cost-centre access is separately tested against a caller holding only some of the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scope boundary for every finance read and write.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Maintained by posting; read by every report.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Never posts; frozen by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and the chart of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on one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what is currently postable.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post in one CRITICAL action.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configuration.</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landing aggregate.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cardinal balanced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primary statements.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statements as one filing pack.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 statement lines, imports, and the import template.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Plan, freeze, and compare.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every view enforces, seeded by seed_finance_permissions across some thirty resources.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Runs approval where a template exists for a finance document type. The submit response carries the parked warning when nobody can approve.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statement-import wizard; finance owns the normalisation and the invariants publish must satisfy.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a baseline chart and calendar; seed_finance_permissions registers the keys.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 THE CLOSE IS ONLY AS COMPLETE AS ITS CALLER</w:t>
            </w:r>
          </w:p>
          <w:p w:rsidR="00A62A3E" w:rsidRDefault="00000000">
            <w:pPr>
              <w:spacing w:after="20"/>
              <w:ind w:left="86" w:hanging="86"/>
            </w:pPr>
            <w:r>
              <w:rPr>
                <w:sz w:val="16"/>
              </w:rPr>
              <w:t xml:space="preserve">• The period-close checklist is deliberately finance-native: it checks the trial balance, the AR sub-ledger against its control, and depreciation. The AP and GR/IR reconciliations live in procurement and reach the close only when a caller passes them in.</w:t>
            </w:r>
          </w:p>
          <w:p w:rsidR="00A62A3E" w:rsidRDefault="00000000">
            <w:pPr>
              <w:spacing w:after="20"/>
              <w:ind w:left="86" w:hanging="86"/>
            </w:pPr>
            <w:r>
              <w:rPr>
                <w:sz w:val="16"/>
              </w:rPr>
              <w:t xml:space="preserve">• That keeps the dependency one-way, which is right, but it means a close run without those checks can seal a period over an unreconciled payables position and report success.</w:t>
            </w:r>
          </w:p>
          <w:p w:rsidR="00A62A3E" w:rsidRDefault="00000000">
            <w:pPr>
              <w:spacing w:after="20"/>
              <w:ind w:left="86" w:hanging="86"/>
            </w:pPr>
            <w:r>
              <w:rPr>
                <w:sz w:val="16"/>
              </w:rPr>
              <w:t xml:space="preserve">• Required completion: make the close's caller assemble the full check set for an entity that uses procurement, or register checks rather than pass them.</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xml:space="preserve">• Depreciation is straight-line only. Reducing-balance and usage-based methods are not implemented.</w:t>
            </w:r>
          </w:p>
          <w:p w:rsidR="00A62A3E" w:rsidRDefault="00000000">
            <w:pPr>
              <w:spacing w:after="20"/>
              <w:ind w:left="86" w:hanging="86"/>
            </w:pPr>
            <w:r>
              <w:rPr>
                <w:sz w:val="16"/>
              </w:rPr>
              <w:t xml:space="preserve">• The fiscal-calendar runway warning warns but does not create the next year, so an entity that ignores it still runs out.</w:t>
            </w:r>
          </w:p>
          <w:p w:rsidR="00A62A3E" w:rsidRDefault="00000000">
            <w:pPr>
              <w:spacing w:after="20"/>
              <w:ind w:left="86" w:hanging="86"/>
            </w:pPr>
            <w:r>
              <w:rPr>
                <w:sz w:val="16"/>
              </w:rPr>
              <w:t xml:space="preserve">•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xml:space="preserve">• School and branch domain integration is incomplete where a finance record needs academic ownership, tracked against Modules 11 to 16.</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19 carries 21 capability entries in MRD v2.9.1.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