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23: Purchase Orders, Delivery &amp; AP</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M23 | Purchase Orders, Delivery &amp; AP</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v2.9.1 | Module 23</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vs_workflow, vs_payments,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Commitment through receipt, bill and payment</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The GR/IR control, money units,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commit, receive, bill, and pay</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procure-to-pay chain and its four postings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documents and the sub-ledger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approval, vendor, and payment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23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23 is the half of procure-to-pay that touches the books. It commits the entity with a purchase order, recognises cost when goods arrive, matches the supplier's bill against what was ordered and received, creates the payable, and settles it. Its organising control is GR/IR clearing, which is what keeps a receipt and a bill from double-counting the same cost.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and totals, approval hand-off, issue, and the emailed order with its delivery record and retry.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what arrived, accepted against rejected quantities, and the receipt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Comparing the order, the posted receipt and the bill within configured tolerances.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duplicate control, matching, and the accounts-payable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Drafting a settlement plan, approval hand-off, posting with withholding tax and the advance split, allocation, cancellation and reversal.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GR/IR balance and aging, cash requirements, and cycle time.</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 An award hands this module a draft order.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This module enforces those gates; it does not set them.</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 A receipt of a stock-tracked line updates the sub-ledger there.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Every posting here goes through its service.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where a confirmed payout books a vendor payment through this module's payables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Where the Boundaries Are Drawn</w:t>
      </w:r>
    </w:p>
    <w:p w:rsidR="00A62A3E" w:rsidRDefault="00000000">
      <w:pPr>
        <w:spacing w:after="120"/>
      </w:pPr>
      <w:r>
        <w:t xml:space="preserve">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issue purchase orders, email them, retry a failed delivery.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procurement.purchase_order.* (create and 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procurement.goods_receipt.create, .update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procurement.goods_receipt.post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procurement.vendor_invoice.*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procurement.vendor_payment.* plus the approving role the stage names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AP aging, the reconciliation, GR/IR and cycle analytics.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procurement.report.view</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commitment to a supplier must be an explicit, approvable act with server-derived totals.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Orders carry lines with their own snapshots of description, unit, tax and price, taken at the time so a later catalogue change cannot rewrite them. Totals are derived server-side in integer kobo. A draft is editable intent; submission hands the order to the approval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award in Module 22 produces a draft, not an issued order, so the commitment remains a separate deliberate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Emailing a purchase order must be durable and retryable rather than fire-and-forget.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order email is scheduled, rendered and delivered through a durable path with a preview endpoint, a per-delivery record, and an explicit retry.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failed send is visible as a delivery record and can be retried without re-issuing the order.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Cost belongs in the period the goods arrived, not the period the bill turned up.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Rejected quantities are not capitalised or expensed. A stock-tracked line additionally raises quantity and value in Module 24's sub-ledger, while this journal posts the ledger side.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supplier's bill must be checked against what was ordered and what actually arrived before it becomes a payable.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three-way match compares, per line linked to an order line, the cumulative billed quantity and the unit price against ordered and received. Billing beyond the ordered tolerance is over-billed and blocking; beyond the receipt tolerance is under-received and blocking; a price variance outside tolerance is flagged. Tolerances are configured per entity in basis points.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two blocking outcomes stop the posting rather than warning, which is the difference between a control and a note. A bill with no order linkage follows the entity's explicit non-PO invoice policy rather than an implicit default.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price variance is flagged but not blocking, so it can be posted with the variance allowed.</w:t>
            </w:r>
          </w:p>
        </w:tc>
      </w:tr>
    </w:tbl>
    <w:p w:rsidR="00A62A3E" w:rsidRDefault="00000000">
      <w:pPr>
        <w:spacing w:after="0"/>
      </w:pPr>
    </w:p>
    <w:p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same supplier invoice must not be capturable twice, and a retried submission must not create a second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reference-check endpoint answers before capture. Same-vendor duplicates are hard-blocked, cross-vendor matches raise a warning requiring confirmation, validation runs both early and at save time, and creation is retry-safe.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network retry of the same capture yields one bill, not two. A genuine same-reference bill from a different vendor is possible but must be confirmed deliberately.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matched bill must clear what the receipt parked and recognise what is owed.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GR/IR clearing, plus recoverable input VAT where applicable, and credits accounts payable. For an order-based bill the debit clears the GR/IR liability the receipt parked; a non-PO bill debits the expense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Once goods are both received and billed, GR/IR nets to zero for that line, which is the property the GR/IR report reads.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Paying more than is currently billed must not read as the supplier owing the entity money.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The truth is that the entity is out of pocket and the vendor owes goods, which is an asset, and the split records that.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already paid must be usable against a bill that arrives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reclassification is dated on the later document, so neither side of the pair is recorded before it could have happened.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Approving a payment must not be the same act as paying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Allocations on a draft payment are an editable settlement plan and reduce no invoice balance. Approval authorises the plan; posting through the payables service is the separate mutation that creates ledger history.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approved but unposted payment has changed nothing in the books, so an approval cannot be mistaken for a disbursement.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made in error must be undoable as a recorded event.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Cancellation applies before posting; reversal after it, raising the opposite postings and restoring the bills the payment had settled, on a date the caller supplies.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reversal is a posting rather than a deletion, so the ledger shows both the payment and its withdrawal.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supplier on hold or failing KYC must not be payable, however the payment was raised.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 flag and the KYC status are checked in the payables service before a payment is cut, and the vendor's withholding-tax code drives the deduction.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the check is in the service, an API caller or a bulk payout confirming through Module 18 hits it too, not only a screen user.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whom, for how long, and what has been received but not billed must all be answerable.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aging overall and per vendor, the sub-ledger against its control, the GR/IR balance, GR/IR aging by receipt and its line detail, cash requirements, spend analysis and procure-to-pay cycle time are served as entity-scoped reads.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query starts from the entity, or traverses an entity-scoped parent, which is the read-side tenant boundary for these reports. The reconciliation demonstrates that the sub-ledger equals its control.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FR-013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period must not be sealed over an unreconciled payables position.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AP and GR/IR reconciliations live here rather than in finance, because procurement depends on finance and not the other way round. A caller passes them into the period close as extra checks.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dependency stays one-way, which is what keeps finance importable by procurement rather than circular.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only runs these checks if its caller supplies them. A close run without them can seal a period over an unreconciled AP position and report success. Recorded against Module 19 as well.</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commitment, not a posting.</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or inventory, Cr GR/IR clearing, at accepted value ex-tax.</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GR/IR clearing (+ Dr input VAT), Cr accounts payable.</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AP (settled) and Dr vendor advances (unsettled), Cr bank (net), Cr WHT payable (withheld).</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accounts payable, Cr vendor advances, on the later date.</w:t>
            </w:r>
          </w:p>
        </w:tc>
      </w:tr>
    </w:tbl>
    <w:p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Blocking</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Yes.</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Yes.</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Flagged, and postable with the variance allowed.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Lines carry their own snapshots of description, unit, tax and price.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raises the GR/IR journal and, for stock lines, Module 24's sub-ledger.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Lines link to order lines; unlinked lines follow the non-PO policy.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authorises the plan; posting creates the history.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advance reclassification correct.</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The routes below are Module 23's.</w:t>
      </w:r>
    </w:p>
    <w:p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Commitments.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across orders.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 off to approval.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vendor will see.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it, durably.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Retry a failure.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what arrived.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the GR/IR journal. CRITICAL.</w:t>
            </w:r>
          </w:p>
        </w:tc>
      </w:tr>
    </w:tbl>
    <w:p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check before capture.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read.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 the three-way match.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then AP posting.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can be settled.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settlement plan.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then the posting.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or an advance to bills.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Before, and after, posting.</w:t>
            </w:r>
          </w:p>
        </w:tc>
      </w:tr>
    </w:tbl>
    <w:p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Received not billed, and the reverse.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Forecast and speed.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payables service.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accounts, the period lock and the balance guard. Receives the AP and GR/IR checks this module supplies to the close.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approval over purchase orders, vendor invoices and vendor payments through the ladders Module 22 publishes.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vendor, the hold and KYC gates this module enforces, the withholding code, and the catalogue the order lines snapshot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Hands over the draft order an award produced.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quantity and value from a stock-tracked receipt.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 confirmed payout as a vendor payment through this module's payables service.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seed_procurement_demo builds a worked procure-to-pay set.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A CLOSE CAN SEAL A PERIOD WITHOUT THESE CHECKS</w:t>
            </w:r>
          </w:p>
          <w:p w:rsidR="00A62A3E" w:rsidRDefault="00000000">
            <w:pPr>
              <w:spacing w:after="20"/>
              <w:ind w:left="86" w:hanging="86"/>
            </w:pPr>
            <w:r>
              <w:rPr>
                <w:sz w:val="16"/>
              </w:rPr>
              <w:t xml:space="preserve">• The AP and GR/IR reconciliations live here, correctly, because procurement depends on finance and not the reverse. They reach a period close only when the caller passes them in as extra checks.</w:t>
            </w:r>
          </w:p>
          <w:p w:rsidR="00A62A3E" w:rsidRDefault="00000000">
            <w:pPr>
              <w:spacing w:after="20"/>
              <w:ind w:left="86" w:hanging="86"/>
            </w:pPr>
            <w:r>
              <w:rPr>
                <w:sz w:val="16"/>
              </w:rPr>
              <w:t xml:space="preserve">• A close run without them can seal a period over an unreconciled payables position, or over a GR/IR balance nobody has explained, and report success.</w:t>
            </w:r>
          </w:p>
          <w:p w:rsidR="00A62A3E" w:rsidRDefault="00000000">
            <w:pPr>
              <w:spacing w:after="20"/>
              <w:ind w:left="86" w:hanging="86"/>
            </w:pPr>
            <w:r>
              <w:rPr>
                <w:sz w:val="16"/>
              </w:rPr>
              <w:t xml:space="preserve">• Required completion: have the close's caller assemble the full check set for an entity that uses procurement, or let modules register checks with the close rather than being passed to it. Tracked against Modules 19 and 23.</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A price variance outside tolerance is flagged but not blocking, so a bill can be posted at a price nobody agreed provided the quantity matches.</w:t>
            </w:r>
          </w:p>
          <w:p w:rsidR="00A62A3E" w:rsidRDefault="00000000">
            <w:pPr>
              <w:spacing w:after="20"/>
              <w:ind w:left="86" w:hanging="86"/>
            </w:pPr>
            <w:r>
              <w:rPr>
                <w:sz w:val="16"/>
              </w:rPr>
              <w:t xml:space="preserve">• Branch scoping is unfinished where operational ownership of a purchase document is branch-specific. Tracked against Modules 22 to 24.</w:t>
            </w:r>
          </w:p>
          <w:p w:rsidR="00A62A3E" w:rsidRDefault="00000000">
            <w:pPr>
              <w:spacing w:after="20"/>
              <w:ind w:left="86" w:hanging="86"/>
            </w:pPr>
            <w:r>
              <w:rPr>
                <w:sz w:val="16"/>
              </w:rPr>
              <w:t xml:space="preserve">• Duplicate control covers the reference; a genuine duplicate captured under a different reference is not caught.</w:t>
            </w:r>
          </w:p>
          <w:p w:rsidR="00A62A3E" w:rsidRDefault="00000000">
            <w:pPr>
              <w:spacing w:after="20"/>
              <w:ind w:left="86" w:hanging="86"/>
            </w:pPr>
            <w:r>
              <w:rPr>
                <w:sz w:val="16"/>
              </w:rPr>
              <w:t xml:space="preserve">• The non-PO invoice policy is explicit and per entity, which is right, but an entity that sets it permissively has no three-way match on those bills at all.</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23 carries 17 capability entries in MRD v2.9.1.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