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w:t>
              <w:br/>
              <w:t>Version: 1.17</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1.17</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9 October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working tree, 9 October 2026. This revision records recipient-product email identity, migration 0020, and the verified notification and identity test coverage. No deployment or production adoption is claimed.</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v2.103</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vs_audit, vs_health, vs_procurement, vs_finance, vs_workflow, schools/core/fal, schools/vs_onboarding,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recipient product's name and public logo at delivery, and allows a per-template override to replace it.</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 tenant's overrides for all of its branches, and one branch's own overrides for the emails sent about a branch. Every settings and template change is audited.</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Whether a school's approvals notify anybody at all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7, Workflow &amp; Approval Engine. Its one whole-school switch, workflow.notifications.enabled in the Module 6 configuration catalogue, is read before an approval event is raised: off, the approval events are never raised, so nothing reaches this module on any channel, the in-app one included. The school app shows it in Settings &gt; Notifications above this module's settings (school-fe 78cd90d), which is not proof of deployment.</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Which emails fire belongs to the school, and below it to each branch for the emails sent about a branch; the wording of every message belongs to the platform. A caller's branch reach decides which of the school's scopes they may configure.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per event for the whole school, and for any of its branches.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a tenant key held by default by school_admin and branch_admin, inside their own tenant, with reach over the whole school</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Branch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for their own branches only, for the events sent about a branch, and read the whole school's choices without changing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The same key, with reach limited to some branches. A whole-school change is refused with BRANCH_SCOPE_REQUIRED.</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 Set the platform default layer every tenant inherits.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 a platform key no school role can hold, so the wording of every message is the platform's; communication.communication_permissions.enforce in the platform tenant for the default layer</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platform.health.update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 import.completed, import.failed and user.account_locked remain inactive. The import engine reports runs through task.completed or task.failed, and the account lock flow emits no notification event.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 Inactive import and account-lock keys are absent from the active catalogue and are refused if called directly.</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branch row, for an event sent about a branch (FR-016), over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and at a branch only the branches their reach covers. A tenant that mutes a channel silences it for its own people and for nobody else's. Building the matrix costs two queries regardless of event count.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or per branch,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 Every in-app template has its own subject. Migration 0018 fills 41 blank subjects and replaces a body only where it still equals the old shared default, preserving staff-authored copy. A feed row whose stored subject is blank falls back to the event label.</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 InAppSubjectCopyTests and MigrationCopyTests cover event-specific titles, the label fallback and preservation of customized subject and body text.</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dynamic email_brand and brand_logo_url placeholders. Dispatch groups recipients by owning tenant and supplies product identity for each group. The CodeX default takes its public logo from Platform Settings. The schools FAL recognises a school-product tenant and returns XVS with the transparent blue mark hosted at SCHOOL_APP_BASE_URL/svg/logo-blue.svg. The engine imports only the configured provider path and therefore remains domain-neutral. Migration 0020 replaces retired CodeX Vision copy with email_brand in existing subjects, bodies and action labels, then regenerates only html_is_custom=false markup.</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Platform recipients receive a CodeX header and configured CodeX logo. School-product recipients receive an XVS header and the transparent blue XVS mark, even when message context also names a tenant, issuer or entity. The same dispatch may render each owning tenant with its own product identity. Changing a standard template changes its markup; changing a hand-edited one does not. Migration 0020 preserves staff-authored HTML. ProductEmailBrandTests, DispatchTests, and ProductBrandingMigrationTests cover the resolver, both audiences, obsolete-name removal, and migration preservation.</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while substituted values are not. Subject and plain-text bodies render with escaping off. A logo address is checked where it is resolved as well as where a document is composed. Stored markup substitutes the logo inside the image source at send time, so anything but an absolute http or https address is refused. When a usable product logo is absent, the standard header falls back to the CodeX initials CX rather than a broken image.</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delivered HTML and is not executable. Hand-written markup inherits the same render-time rule. EmailBrandMarkTests proves only an absolute http or https address becomes an image and that a URL cannot break out of the image attribute; ProductEmailBrandTests proves each configured product supplies the expected public logo.</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and the unread count drives the badge. One RECORD_DESTINATIONS table defines both the action URL and the filters used to acknowledge a record route, so the link and the clear rule cannot drift. It covers ticket, workflow, export run and import batch records. Health incidents and ToDo tasks have no dedicated frontend record route, but their successful API detail read, or a ToDo read or toggle, clears the matching notice. Successful export run detail and authorized file download, ticket detail, workflow instance detail and import batch detail do the same. Every clear is one scoped update over the recipient's own unread in-app rows. Module index routes are destinations only and acknowledge nothing: /finance, /procurement, /team-management, /me/security, /export/files, /data-imports/batches and /tasks. The finance destination matches the "billing." and "payments." prefixes; the old "finance." prefix matched no registered event. POST /v1/notify/acknowledge-route/ returns both updated_count and the caller's live unread_count, which lets the badge use the server's answer after a record read has already cleared rows.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Route-table tests prove action URLs and acknowledgement filters stay paired, module indexes clear nothing, foreign recipients and unrelated records stay unread, and the response carries the live unread total. Record-read tests cover export, ticket, workflow, import, health and ToDo. A refused or hidden record access clears nothing, including a rejected export download and a ticket answered as 404.</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notice with no record destination, including payments unbooked-receipt digests and onboarding notices, is cleared manually from the inbox. Health incidents and ToDo tasks have no dedicated frontend detail page, so their automatic clear is available only through their API read or action. Visiting their module index clears nothing.</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platform.health.update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FR-016 Let Each Branch Set Its Own Emails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FR-016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One branch switching off an email must not switch it off for another. When the only row a branch administrator could write was the whole school's, Ikeja muting fee emails muted Lekki's parents as well.</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NotificationSetting carries an optional branch (migration 0019): one row per tenant, branch, event and channel, the whole-tenant row still unique on its own, and a check that a branch row names its tenant. NotificationEventType.branch_scoped is true for exactly the events whose every sender names the branch the event is about: billing.invoice_issued, billing.statement_issued, billing.debit_note_issued, billing.credit_note_issued, billing.payment_received and billing.invoice_overdue, and workflow.stage_activated, workflow.rejected, workflow.returned and workflow.final_approved. An invoice, receipt, note or overdue notice passes the branch it is filed under, a statement the customer's branch, and a workflow notice the instance's. A branch row is consulted only for a branch_scoped event and only for recipients owned by that branch's tenant, so a school's branch never silences platform staff. GET and PATCH /notify/settings/ take ?branch=&lt;id&gt;; each row carries source (branch, tenant, platform or default), branch_scoped and can_edit. At a branch, true or false writes the branch's own row and null removes it, so the branch follows the whole school again.</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The branch must belong to the asserted tenant and lie inside the caller's reach; an unknown, foreign or unreached branch, and any branch at the platform layer, answer the same 404. A caller whose reach is limited to some branches reads the whole school with can_edit false on every row, and a whole-school PATCH from them is refused 403 BRANCH_SCOPE_REQUIRED, even in a school with one branch. At a branch, an event that is not branch_scoped is refused per item with BRANCH_NOT_CONFIGURABLE; null without a branch is refused with RESET_NEEDS_BRANCH. One refused item writes nothing. Ikeja switching an email off silences Ikeja alone, a branch may keep an email the school switched off, and the matrix still costs two queries at a branch (tests_branch_settings, 35 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branch may set only the ten branch-scoped events. An event that any sender raises without a branch stays a whole-school setting, because a branch choice it could not honour would be a switch that does nothing. The platform default layer has no branches.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FR-017 Record Who Changed a Setting or a Template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FR-017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A bursar who stops receiving payment emails, or a school whose invoice email suddenly reads differently, must be able to find out who changed it and when.</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Both administrative write paths call one service, vs_notifications/services/audit.py, which writes CONFIG / CONFIG_CHANGED to the platform audit trail, the pair Module 6 uses for its own value changes. A settings write records one event per event and channel whose stored value at that layer changed, with the value before and after, the layer (platform, tenant or branch, the branch named in the entity id, summary and metadata), and whether the row was created or removed. A template create or edit records the columns that changed, before and after: subject, body, action label and address, markup, markup ownership and active state.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Switching a channel off and back on writes two records. Re-sending a stored value, an edit that changes nothing, and a refused PATCH record nothing. A platform-layer change is recorded as the platform's, and a branch change and its reset name the branch (NotificationChangeAuditTests, BranchSettingAuditTests).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Recording is best effort by the audit trail's own contract: a failure to record never undoes the change.</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 and, where it has one, the branch the event is about.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The branch row for a branch-scoped event, counted only inside that branch's own tenant, then the owner row, then the platform row, then the event default, once per owning tenant. Transactional events skip this.</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product identity for the recipient's owning tenant is added, then 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Platform recipients render CodeX and its configured logo; school-product recipients render XVS and its transparent blue mark. Normal values are substituted. A one-time credential remains an inert marker in the rendered subject, body and HTML.</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recipient product's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 branch_scoped is true when every sender names the branch the event is about, so a branch may set it for itself.</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dynamic email_brand and brand_logo_url placeholders. Unique per event and channel. The subject is the in-app title as well as the email subject; an in-app row with no stored subject falls back to its event label.</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for all of its branches, one per branch per pair for a branch's own choice, and a platform row with no tenant. Constrained so each layer holds at most one, a branch row names its tenant, and the platform layer has no branches. Deleting a branch removes its own rows.</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 Its read state can be changed directly from the inbox or by an authorized read of the record the notice names.</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are scoped to the caller's tenant or one of its branches, and history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Acknowledge the caller's unread in-app rows covered by a visited record route. Module indexes acknowledge nothing. Returns {updated_count, unread_count}.</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tenant, or with ?branch=&lt;id&gt; for one of its branches, and overrides by event and channel. Rows carry source, branch_scoped and can_edit. At a branch, null removes the branch's own value. Atomic, and every change is audited (FR-017).</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?branch= that is unknown, another tenant's or outside the caller's reach, or any branch at the platform layer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404, identical in every case.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whole-school settings change by a caller whose reach is limited to some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403, BRANCH_SCOPE_REQUIRED.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Setting, at a branch, an event that is not sent about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BRANCH_NOT_CONFIGURABLE, per item.</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Resetting a value to null without naming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RESET_NEEDS_BRANCH, per item.</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 The template key is platform-scoped; the settings and history keys are tenant keys held by school_admin and branch_admin, and the caller's branch reach decides which of the school's scopes they may configure.</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plus the configured public CodeX logo used for platform-recipient email.</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 Every settings and template change is written to it as CONFIG_CHANGED (FR-017).</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platform.health.update recipients, and supplies alert and incident correlation metadata. An authorized incident detail read acknowledges the operator's matching in-app alert notice, even though the notification has no frontend action URL.</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lifecycle details, readable local review and activation timestamps, the readable expiry deadline, and separate ageing and suspended lists. Existing machine-readable date, timestamp, and branding keys remain available for customized template compatibility; standard HTML uses the XVS product identity selected at dispatch.</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10, 26 and 29</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Supply workflow instances, import batches, export runs and ToDo tasks. Their successful record reads call the shared acknowledgement service; ToDo completion-review notices carry todo_task_id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and 17, branch senders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Name the branch an event is about when they raise it: the workflow instance's branch, the branch an invoice, receipt, credit or debit note or overdue invoice is filed under, and the customer's branch for a statement. That branch's own settings decide the branch-scoped events (FR-016).</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 An authorized ticket detail read acknowledges the caller's matching ticket notices.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pPr>
        <w:pStyle w:val="Heading2"/>
      </w:pPr>
      <w:r>
        <w:t>Current Functional Contracts</w:t>
      </w:r>
    </w:p>
    <w:p>
      <w:pPr/>
      <w:r>
        <w:t>These contracts state the current behavior at the code baseline and govern where an earlier sentence in this document describes an older rule.</w:t>
      </w:r>
    </w:p>
    <w:p>
      <w:r>
        <w:t>The immutable finance.fiscal_calendar_expiring event warns whole-school holders of finance.period.create weekly, daily in the last seven days, and once postings fail. It is delivered in-app and by email.</w:t>
      </w:r>
    </w:p>
    <w:p>
      <w:r>
        <w:t>When activity is proxied, notification and activity wording may name the real actor for the effective user. This keeps the recipient-facing explanation aligned with the audit record.</w:t>
      </w:r>
    </w:p>
    <w:p>
      <w:pPr>
        <w:pStyle w:val="Heading2"/>
      </w:pPr>
      <w:r>
        <w:t>D83-D102 Current Contracts</w:t>
      </w:r>
    </w:p>
    <w:p>
      <w:pPr/>
      <w:r>
        <w:t>These contracts state current behavior at the committed evidence boundary and replace an earlier sentence wherever the two disagree.</w:t>
      </w:r>
    </w:p>
    <w:p>
      <w:r>
        <w:t>Notification contexts carry human-formatted dates and times while stored identifiers and audit metadata remain machine values. Onboarding, password reset, finance, procurement, approval and payment messages use the recipient tenant's current display contract when rendered.</w:t>
      </w:r>
    </w:p>
    <w:p>
      <w:r>
        <w:t>workflow.approver_removed tells a removed approver that a request no longer needs their decision. A newly added waiting approver receives the ordinary stage-activated event.</w:t>
      </w:r>
    </w:p>
    <w:p>
      <w:r>
        <w:t>student.suspended is active for in-app and email delivery. The configured primary guardian, all guardians or nobody receives it; unreachable recipients are skipped without substitution. A lifting or automatic end of suspension sends no notice.</w:t>
      </w:r>
    </w:p>
    <w:p>
      <w:r>
        <w:t>payroll.payslip_ready and payroll.payslip_emailed are controlled by tenant settings and are emitted only after payment commits. Their notification history contains no pay amount. payments.dispute_received and held-ledger mismatch notices reach the appropriate tenant and CodeX operators.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Readable sources: </w:t>
      </w:r>
      <w:r>
        <w:t>Notification records carry source_module_label beside the stored module key, so product screens do not have to expose internal codes.</w:t>
      </w:r>
    </w:p>
    <w:p>
      <w:pPr>
        <w:keepLines/>
      </w:pPr>
      <w:r>
        <w:t xml:space="preserve">• </w:t>
      </w:r>
      <w:r>
        <w:rPr>
          <w:b/>
        </w:rPr>
        <w:t xml:space="preserve">Delivery evidence: </w:t>
      </w:r>
      <w:r>
        <w:t>Financial retention and returned-document changes do not infer delivery. Notification history remains a delivery record under its existing access rules.</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CURRENT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or per branch.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br/>
              <w:t>• The registry holds seven billing events, but only six have in-app templates: billing.statement_issued is email-only. Five active in-app-capable customer events are sent only to unregistered addresses and dispatch skips in-app for them; billing.refund_processed is inactive and has no emitter. The six in-app templates remain for a future registered-customer portal.</w:t>
              <w:br/>
              <w:t>• import.completed and import.failed remain inactive because import runs use the generic task events. user.account_locked remains inactive and un-emitted.</w:t>
              <w:br/>
              <w:t>• Recordless notices still need a manual inbox action. Health incidents and ToDo tasks clear only through API reads or actions because neither has a dedicated frontend detail page.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v2.93. Each maps to the requirements below. A branch's own settings strengthen the effective matrix and the per-school overrides, and the record of settings and template changes strengthens notification audit events and templates,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 FR-016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retries, and transactional operational alerts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FR-004, FR-012, FR-015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 FR-017</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Standard email identity now follows the recipient's product surface. Platform recipients render CodeX and the configured platform logo, defaulting to the CodeX icon served by the console; school-product recipients render XVS and the transparent blue XVS mark. A configured provider keeps the notification engine domain-neutral. Migration 0020 replaces retired CodeX Vision copy with the dynamic product name and regenerates only platform-maintained HTML, preserving staff-authored HTML. Updates scope, FR-006, FR-007, dispatch lifecycle, data and dependency contracts, and MRD traceability. Module status and its 22 capabilities are unchanged. The 237-test notifications app and the 430-test user app passed.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27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Minor revision. A branch sets its own notification emails. NotificationSetting gains an optional branch (migration 0019) and NotificationEventType a branch_scoped flag, true for the six billing and four workflow events whose every sender names the branch the event is about. Resolution is branch, then school, then platform, then the event default, and a branch speaks only for recipients its own school owns. The settings routes take ?branch=, rows carry source, branch_scoped and can_edit, and three refusals are added: BRANCH_SCOPE_REQUIRED, BRANCH_NOT_CONFIGURABLE and RESET_NEEDS_BRANCH. A branch administrator changes only their own branches' settings. Which emails fire is the school's; the wording of every message is the platform's. Every settings change and every template create or edit writes a CONFIG_CHANGED audit record. Adds FR-016 and FR-017 and updates scope, actors, FR-002, the dispatch workflow, the data model, the API contracts, dependencies, Needs Attention and traceability, and records that the school-wide Approval emails switch belongs to Module 7. The two resolved boxes leave Needs Attention, which holds current gaps only. Module 8 stays at 22 capability entries; the background delivery entry takes the MRD's wording, background delivery, retries, and transactional operational alerts, and maps FR-004, the transactional events no entry traced. Verified against backend 570410e1 and 98e98798, where vs_notifications ran 224 tests, vs_workflow 430, vs_finance 873 and vs_rbac 892, all passing; not rerun for this revision.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Updates the Health alert recipient contract to resolve active platform.health.update holders after the broad Health write key was retired. Delivery behavior and ownership remain unchanged.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event-specific in-app subjects, one destination table shared by links and acknowledgement, server-side clearing on successful record reads, the {updated_count, unread_count} route response, ToDo record metadata and export result naming. It also states the remaining recordless, health, ToDo, import, account-lock and billing delivery limits precisely. Console ff84fc4 and school-app 448cac2 consume the contract, but their commits are not proof of deployment. Module 8 stays at 22 capability entries.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1.15</cp:version>
  <dc:title>XVS M08 Notifications and Delivery Functional Requirements Document v1.15</dc:title>
</cp:coreProperties>
</file>