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t>Prepared by: CodeX Team</w:t>
              <w:br/>
              <w:t>Version: 2.103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2.103</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working tree, 9 October 2026. Standard notification email now uses CodeX identity for platform recipients and XVS identity for school-product recipients, with the corresponding public logo selected at dispatch. Existing platform-maintained templates are refreshed by migration 0020. No deployment or production adoption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v1.9.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finance filing contract adds four explicit statement windows to the statutory-pack response and uses them unchanged in CSV, XLSX and PDF. The downloads include the same cash-flow and changes-in-equity summaries as the response. The periodic recovery path for import jobs that remain running past their configured limit now resolves each job's tenant. Existing capability counts, module statuses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2.103</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9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2.102</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