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&amp; AP</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1.5</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M23 | Purchase Orders, Delivery &amp; AP</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89FFC" w14:textId="77777777" w:rsidR="00A62A3E" w:rsidRDefault="00000000">
            <w:pPr>
              <w:spacing w:after="0"/>
            </w:pPr>
            <w:r>
              <w:rPr>
                <w:color w:val="000000"/>
                <w:sz w:val="17"/>
              </w:rPr>
              <w:t>1.5</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221D2" w14:textId="77777777" w:rsidR="00A62A3E" w:rsidRDefault="00000000">
            <w:pPr>
              <w:spacing w:after="0"/>
            </w:pPr>
            <w:r>
              <w:rPr>
                <w:color w:val="000000"/>
                <w:sz w:val="17"/>
              </w:rPr>
              <w:t>27 August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pPr>
            <w:r>
              <w:rPr>
                <w:color w:val="000000"/>
                <w:sz w:val="17"/>
              </w:rPr>
              <w:t>42fbec0 (27 August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pPr>
            <w:r>
              <w:rPr>
                <w:color w:val="000000"/>
                <w:sz w:val="17"/>
              </w:rPr>
              <w:t>XVS Module Requirements Document v2.36</w:t>
              <w:br/>
              <w:t>Module 23</w:t>
            </w:r>
          </w:p>
          <w:p w14:paraId="6ED54A36" w14:textId="77777777" w:rsidR="00A62A3E" w:rsidRDefault="00000000">
            <w:pPr>
              <w:spacing w:after="0"/>
            </w:pPr>
            <w:r>
              <w:rPr>
                <w:color w:val="000000"/>
                <w:sz w:val="17"/>
              </w:rPr>
              <w:t>Module 23</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23 is the half of procure-to-pay that touches the books. It commits the entity with a purchase order, recognises cost when goods arrive, matches the supplier's bill against what was ordered and received, creates the payable, and settles it. Its organising control is GR/IR clearing, which is what keeps a receipt and a bill from double-counting the same cost.</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and cycle analytics.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procurement.report.view</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commitment to a supplier must be an explicit, approvable act with server-derived totals.</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Emailing a purchase order must be durable and retryable rather than fire-and-forget.</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The order email is scheduled, rendered and delivered through a durable path with a preview endpoint, a per-delivery record, and an explicit retry.</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failed send is visible as a delivery record and can be retried without re-issuing the order.</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Cost belongs in the period the goods arrived, not the period the bill turned up.</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supplier's bill must be checked against what was ordered and what actually arrived before it becomes a payable.</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so the variance is isolated in the ledger but surfaced on no screen.</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pPr>
            <w:r>
              <w:rPr>
                <w:color w:val="000000"/>
                <w:sz w:val="17"/>
              </w:rPr>
              <w:t>The same supplier invoice must not be capturable twice, and a retried submission must not create a second one.</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Posting a matched bill must clear what the receipt parked and recognise what is owed.</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Paying more than is currently billed must not read as the supplier owing the entity money.</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Money already paid must be usable against a bill that arrives afterwards.</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Approving a payment must not be the same act as paying it.</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An approved but unposted payment has changed nothing in the books, so an approval cannot be mistaken for a disbursement.</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None.</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payment made in error must be undoable as a recorded event.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spacing w:after="0"/>
            </w:pPr>
            <w:r>
              <w:rPr>
                <w:b/>
                <w:color w:val="1F7A4D"/>
              </w:rPr>
              <w:t>FR-011 | Implemented</w:t>
            </w:r>
          </w:p>
        </w:tc>
      </w:tr>
      <w:tr w:rsidR="00A62A3E" w14:paraId="4B72414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spacing w:after="0"/>
            </w:pPr>
            <w:r>
              <w:rPr>
                <w:color w:val="000000"/>
                <w:sz w:val="17"/>
              </w:rPr>
              <w:t>A supplier on hold or failing KYC must not be payable, however the payment was raised.</w:t>
            </w:r>
          </w:p>
        </w:tc>
      </w:tr>
      <w:tr w:rsidR="00A62A3E" w14:paraId="611F28E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spacing w:after="0"/>
            </w:pPr>
            <w:r>
              <w:rPr>
                <w:b/>
                <w:color w:val="1F7A4D"/>
              </w:rPr>
              <w:t>FR-012 | Implemented</w:t>
            </w:r>
          </w:p>
        </w:tc>
      </w:tr>
      <w:tr w:rsidR="00A62A3E" w14:paraId="5E897EC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spacing w:after="0"/>
            </w:pPr>
            <w:r>
              <w:rPr>
                <w:color w:val="000000"/>
                <w:sz w:val="17"/>
              </w:rPr>
              <w:t>What is owed, to whom, for how long, and what has been received but not billed must all be answerable.</w:t>
            </w:r>
          </w:p>
        </w:tc>
      </w:tr>
      <w:tr w:rsidR="00A62A3E" w14:paraId="160DEEC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w:t>
            </w:r>
          </w:p>
        </w:tc>
      </w:tr>
      <w:tr w:rsidR="00A62A3E" w14:paraId="7A44E66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spacing w:after="0"/>
            </w:pPr>
            <w:r>
              <w:rPr>
                <w:b/>
                <w:color w:val="1F7A4D"/>
              </w:rPr>
              <w:t>FR-013 | Implemented</w:t>
            </w:r>
          </w:p>
        </w:tc>
      </w:tr>
      <w:tr w:rsidR="00A62A3E" w14:paraId="31212AF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spacing w:after="0"/>
            </w:pPr>
            <w:r>
              <w:rPr>
                <w:color w:val="000000"/>
                <w:sz w:val="17"/>
              </w:rPr>
              <w:t>A period must not be sealed over an unreconciled payables position.</w:t>
            </w:r>
          </w:p>
        </w:tc>
      </w:tr>
      <w:tr w:rsidR="00A62A3E" w14:paraId="14FAA45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spacing w:after="0"/>
            </w:pPr>
            <w:r>
              <w:rPr>
                <w:b/>
                <w:color w:val="1F7A4D"/>
              </w:rPr>
              <w:t>FR-014 | Implemented</w:t>
            </w:r>
          </w:p>
        </w:tc>
      </w:tr>
      <w:tr w:rsidR="00A62A3E" w14:paraId="31212AF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spacing w:after="0"/>
            </w:pPr>
            <w:r>
              <w:rPr>
                <w:color w:val="000000"/>
                <w:sz w:val="17"/>
              </w:rPr>
              <w:t>The supplier's own invoice, and the receipt they issue once paid, must be held against the documents they belong to.</w:t>
            </w:r>
          </w:p>
        </w:tc>
      </w:tr>
      <w:tr w:rsidR="00A62A3E" w14:paraId="14FAA45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binds each one to the school it belongs to and to the document it is evidence for. Reading one back is authorised per file: the request must clear the school's own tenant and then the document's read rule - procurement.vendor_invoice.view for a bill's paper and procurement.vendor_payment.view for a payment's, each scoped to that document's entity and branch - so an attachment can never be read by somebody who would be refused its parent. The URL is signed for one person and expires.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Archiving a bill or a payment does not retire its attachments. Deleting the document closes its files and empties the bytes, but only deletion raises the signal that retirement hangs off, so an archived document's paper stays readable to whoever its read rule still admits. Nothing here posts to the ledger.</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w:t>
            </w:r>
          </w:p>
        </w:tc>
      </w:tr>
      <w:tr w:rsidR="00A62A3E" w14:paraId="55F327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w:t>
            </w:r>
          </w:p>
        </w:tc>
      </w:tr>
      <w:tr w:rsidR="00A62A3E" w14:paraId="16F643A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w:t>
            </w:r>
          </w:p>
        </w:tc>
      </w:tr>
      <w:tr w:rsidR="00A62A3E" w14:paraId="6E7BFE3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w:t>
            </w:r>
          </w:p>
        </w:tc>
      </w:tr>
      <w:tr w:rsidR="00A62A3E" w14:paraId="2DE4D49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the ladders Module 22 publishes.</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so it is visible only to somebody reading the ledger.</w:t>
            </w:r>
          </w:p>
          <w:p w14:paraId="281597EE"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An attachment URL is a capability, not an object-level authorisation. The media endpoint can only tell that the caller is logged in, so a URL that escapes the people allowed to see the document stays fetchable. Files stored before unguessable naming keep their old predictable names.</w:t>
            </w:r>
          </w:p>
          <w:p w14:paraId="3C441DC2" w14:textId="77777777" w:rsidR="00A62A3E" w:rsidRDefault="00000000">
            <w:pPr>
              <w:spacing w:after="20"/>
              <w:ind w:left="86" w:hanging="86"/>
            </w:pPr>
            <w:r>
              <w:rPr>
                <w:sz w:val="16"/>
              </w:rPr>
              <w:t>• Archiving does not revoke a document's attachments. core.media.revoke exists for a caller that retires a document by archiving it rather than deleting it; no procurement path calls it yet.</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23 carries 20 capability entries in MRD v2.36.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FR-001</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Authorised, expiring access to bill and payment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Closes FR-014's current limit. The counterparty's paper was protected by nothing but the unguessability of its file name: the media endpoint authenticated the caller and served any file whose name it was given, so a supplier invoice or a payment receipt that leaked stayed fetchable by any account on any tenant, for ever - including a school that competes with the one whose vendor pricing it shows. Each attachment is now bound to its school and to its owning document, and a read is refused unless the session, a signature issued to that caller, the file's school and the document's own view verb all agree, scoped to that document's entity and branch. URLs expire. Attachments already on the server are bound by migration. One gap replaces the old one: archiving a document does not retire its paper, because only deletion raises the signal.</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sectPr w:rsidR="00AB1CA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1.0</cp:version>
</cp:coreProperties>
</file>