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21: Vendor Management</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1.4</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M21 | Vendor Management</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FA6E75" w14:textId="77777777" w:rsidR="00A62A3E" w:rsidRDefault="00000000">
            <w:pPr>
              <w:spacing w:after="0" w:before="0" w:line="240" w:lineRule="auto"/>
              <w:jc w:val="left"/>
            </w:pPr>
            <w:r>
              <w:rPr>
                <w:rFonts w:ascii="Aptos Narrow" w:hAnsi="Aptos Narrow"/>
                <w:b w:val="0"/>
                <w:color w:val="000000"/>
                <w:sz w:val="18"/>
              </w:rPr>
              <w:t>1.4</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D879080" w14:textId="77777777" w:rsidR="00A62A3E" w:rsidRDefault="00000000">
            <w:pPr>
              <w:spacing w:after="0" w:before="0" w:line="240" w:lineRule="auto"/>
              <w:jc w:val="left"/>
            </w:pPr>
            <w:r>
              <w:rPr>
                <w:rFonts w:ascii="Aptos Narrow" w:hAnsi="Aptos Narrow"/>
                <w:b w:val="0"/>
                <w:color w:val="000000"/>
                <w:sz w:val="18"/>
              </w:rPr>
              <w:t>11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worktree at 13675db, 11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v2.76 | Module 21</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vs_payments, vs_rbac, vs_notifications,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Supplier master data, and why it is not an accounting record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Snapshots, stable identifiers,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onboard, hold, assess, and see bank detail</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Vendor status, hold, and the contract state machine</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master records and their historical guarantees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Sourcing, payables,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21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21 is the supplier side of master data: who the platform buys from, what they are allowed to be paid for, what has been agreed with them, and how well they have performed. It raises no journal of its own. Its value is that every purchasing document downstream can rely on one governed record, and that changing that record cannot rewrite history already embedded in documents.</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categories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 its codes, and category-level insight.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and verified bank detail, including the provider bank code, with field-level protection over the sensitive parts.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Risk and compliance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KYC status, risk indicators, and the hold flag that block new orders and payouts; bank changes invalidate prior verification.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 control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Refusing a second vendor that is really the same one, race-safely.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 per item, and realised usage insight.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 their milestones, activation, renewal, termination, expiry, and the renewal chase list.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Assessment and insight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Point-in-time scorecards, vendor spend, and payment-status visibility.</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receipts, bills, and payments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This module supplies the vendor and the gates; that one moves the money.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Nothing here posts.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an invitation or a renewal warning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Master data has one hard obligation in a system that keeps books: it must be editable without falsifying the past. This module meets it by snapshotting into documents rather than pointing at live values, so a catalogue price change, a category rename, or a deactivation leaves every issued document reading exactly as it did.</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Onboard and edit vendors, set status, hold and release.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procurement.vendor.create/.update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Category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classification tree.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procurement.category.create, .update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catalogue defaults and read vendor insight.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procurement.catalog_item.*, procurement.report.view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contracts and milestones, activate, renew, terminate, complete a milestone.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procurement.contract.*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point-in-time scorecard.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procurement.vendor_assessment.create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Payments-facing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 vendor's bank and tax detail.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sensitive-field key, on both read and write paths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Vendor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Read per-vendor spend, fulfilment and payment performance, and record assessments.</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and procurement.vendor_assessment.create. Both sit at Procurement Advanced; the category and catalogue insights beside them stay on procurement.report.view at Plus.</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FIELD-LEVEL PROTECTION, ON BOTH PATHS</w:t>
            </w:r>
          </w:p>
          <w:p w:rsidR="00A62A3E" w:rsidRDefault="00000000">
            <w:pPr>
              <w:spacing w:after="20"/>
              <w:ind w:left="86" w:hanging="86"/>
            </w:pPr>
            <w:r>
              <w:rPr>
                <w:sz w:val="16"/>
              </w:rPr>
              <w:t>• Contact, tax, bank name, bank code, account name, and account number are protected by field-level RBAC on serialization and mutation. Read and write use the same sensitive policy.</w:t>
            </w:r>
          </w:p>
          <w:p w:rsidR="00A62A3E" w:rsidRDefault="00000000">
            <w:pPr>
              <w:spacing w:after="20"/>
              <w:ind w:left="86" w:hanging="86"/>
            </w:pPr>
            <w:r>
              <w:rPr>
                <w:sz w:val="16"/>
              </w:rPr>
              <w:t>• Bank detail is also payment authority. A change resets KYC to PENDING even when the same request tries to mark it VERIFIED, so changed coordinates need a fresh compliance decision.</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Classify Vendors Without Breaking History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Categories must be reorganisable without changing what past documents said.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Category codes and historical category links are treated as stable business identifiers. An update may deactivate master data but does not rewrite snapshots already embedded in purchase documents.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renamed or retired category leaves issued documents reading as they did when issued.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Hold Vendor Identity and Its Sensitive Parts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vendor record must carry the governed destination needed to trade and to pay, with every payable field protected.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profile carries identity, status, contacts, tax and withholding configuration, bank name, provider bank code, account name, and account number. Sensitive fields are gated on read and write. Model-level normalization protects non-API saves, and a bank-field change resets KYC to PENDING.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caller without the sensitive key neither sees nor can change bank detail. A bank change cannot remain VERIFIED in the same save. Payments use the current vendor master as the destination and reject caller-supplied values that do not match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independent beneficiary-verification provider call exists; VERIFIED remains an internal compliance decision whose exact destination is enforced by the payout service.</w:t>
            </w:r>
          </w:p>
        </w:tc>
      </w:tr>
    </w:tbl>
    <w:p w:rsidR="00A62A3E" w:rsidRDefault="00000000">
      <w:pPr>
        <w:spacing w:after="0"/>
      </w:pPr>
    </w:p>
    <w:p w:rsidR="00A62A3E" w:rsidRDefault="00000000">
      <w:pPr>
        <w:pStyle w:val="Heading2"/>
        <w:keepNext/>
        <w:pBdr>
          <w:bottom w:val="single" w:sz="8" w:space="5" w:color="355B9D"/>
        </w:pBdr>
      </w:pPr>
      <w:r>
        <w:t>FR-003 Refuse a Duplicate Vendor, Race-Safely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same supplier must not be onboardable twice, even by two people at once.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Duplicate detection is enforced by a database constraint as the final guard, with the violation translated into a typed error rather than a 500. The same treatment applies to categories.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race between two simultaneous creates resolves to one vendor and one clear error, because the check is the constraint rather than a prior read.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Detection is on the identifying fields the constraint covers; a supplier entered under a genuinely different name and code is not caught.</w:t>
            </w:r>
          </w:p>
        </w:tc>
      </w:tr>
    </w:tbl>
    <w:p w:rsidR="00A62A3E" w:rsidRDefault="00000000">
      <w:pPr>
        <w:spacing w:after="0"/>
      </w:pPr>
    </w:p>
    <w:p w:rsidR="00A62A3E" w:rsidRDefault="00000000">
      <w:pPr>
        <w:pStyle w:val="Heading2"/>
        <w:keepNext/>
        <w:pBdr>
          <w:bottom w:val="single" w:sz="8" w:space="5" w:color="355B9D"/>
        </w:pBdr>
      </w:pPr>
      <w:r>
        <w:t>FR-004 Block a Vendor From Being Paid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supplier under investigation must be stoppable without deleting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vendor carries active status, a hold flag, and KYC status. Payables checks hold and KYC before interactive payment. Module 18 also requires active, verified, not-held status at payout creation and rechecks it with the destination immediately before provider dispatch.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gates live in services, not screens. A bank change resets KYC; a hold, deactivation, KYC change, or destination change after approval prevents provider dispatch. The vendor record remains readable for history.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Keep Purchasing Defaults Without Freezing Them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should get sensible line defaults without those defaults later rewriting an issued order.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Catalogue records are reusable defaults, not accounting entries. Historical purchase-order lines retain their own description, unit, tax and price snapshots when a catalogue item changes or is deactivated.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Changing a price affects the next document, never a previous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Run a Vendor Contract Through One State Machine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Contract lifecycle transitions must be consistent wherever they are triggered from.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Contracts record the commercial envelope, period, value and payment terms, with an optional list of milestones. Activation, renewal, termination and expiry are delegated to the contract service, so the endpoints do not each hold their own version of the rules. Edits change only non-terminal terms and append milestones.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 references and completed milestones are historical evidence and are not rewritten. Linked purchase orders are readable from the contract.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overlay has no ledger effect, so a contract's value is a commercial commitment rather than an encumbrance the books enforce.</w:t>
            </w:r>
          </w:p>
        </w:tc>
      </w:tr>
    </w:tbl>
    <w:p w:rsidR="00A62A3E" w:rsidRDefault="00000000">
      <w:pPr>
        <w:spacing w:after="0"/>
      </w:pPr>
    </w:p>
    <w:p w:rsidR="00A62A3E" w:rsidRDefault="00000000">
      <w:pPr>
        <w:pStyle w:val="Heading2"/>
        <w:keepNext/>
        <w:pBdr>
          <w:bottom w:val="single" w:sz="8" w:space="5" w:color="355B9D"/>
        </w:pBdr>
      </w:pPr>
      <w:r>
        <w:t>FR-007 Chase Renewals Before They Lapse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term agreement should be visible as expiring before it expires.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renewals endpoint surfaces the contracts a buyer should chase, and expiry is a modelled transition rather than an absence of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lapsed contract is recorded as expired rather than silently ceasing to apply.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list must be looked at; nothing pushes a renewal warning on its own schedule from this module.</w:t>
            </w:r>
          </w:p>
        </w:tc>
      </w:tr>
    </w:tbl>
    <w:p w:rsidR="00A62A3E" w:rsidRDefault="00000000">
      <w:pPr>
        <w:spacing w:after="0"/>
      </w:pPr>
    </w:p>
    <w:p w:rsidR="00A62A3E" w:rsidRDefault="00000000">
      <w:pPr>
        <w:pStyle w:val="Heading2"/>
        <w:keepNext/>
        <w:pBdr>
          <w:bottom w:val="single" w:sz="8" w:space="5" w:color="355B9D"/>
        </w:pBdr>
      </w:pPr>
      <w:r>
        <w:t>FR-008 Score a Vendor at a Point in Time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Performance must be recordable as evidence, not as a mutable opinion.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Assessments are point-in-time scorecards, list and create only, with no edit path. Listing them rides procurement.analytics.view, the key that also serves the vendor performance report they feed; recording one needs its own dedicated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past assessment cannot be revised to fit a later decision, which is what makes the series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Show What a Vendor Has Cost and Is Owed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realised spend and payment position per vendor, not just documents.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Vendor insight, category insight, catalogue usage insight, the vendor spend analysis and the vendor performance report are served as entity-scoped reads over the AP sub-ledger. The category and catalogue insights and the vendor summary ride procurement.report.view; per-vendor insight, the spend analysis and the performance report ride procurement.analytics.view, which is sold a depth deeper. The vendor summary and per-vendor insight reach only the vendors the caller's branches reach (FR-011).</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figures come from the sub-ledger the payments actually posted to, so they cannot disagree with the accounts.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Account for Money Paid Before a Bill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Paying a supplier ahead of their invoice must not read as the supplier owing the entity money.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vendor payment's debit is split at source: accounts payable is debited only for what the payment actually settles, and anything paid ahead of a bill lands in the vendor-advance asset. Applying that advance to a later bill reclassifies it, debiting AP and crediting vendor advances, on the later of the two documents' dates.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Debiting AP for the whole gross would put a debit balance on a liability, which reads as suppliers owing the entity. The truth is that the entity is out of pocket and the vendor owes goods, which is an asset, and that is what the split records.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and the drawdown live in Module 23's payables service; this module supplies the vendor and its withholding code.</w:t>
            </w:r>
          </w:p>
        </w:tc>
      </w:tr>
    </w:tbl>
    <w:p w:rsidR="00A62A3E" w:rsidRDefault="00000000">
      <w:pPr>
        <w:spacing w:after="0"/>
      </w:pPr>
    </w:p>
    <w:p w:rsidR="00A62A3E" w:rsidRDefault="00000000">
      <w:pPr>
        <w:pStyle w:val="Heading2"/>
        <w:keepNext/>
        <w:pBdr>
          <w:bottom w:val="single" w:sz="8" w:space="5" w:color="355B9D"/>
        </w:pBdr>
      </w:pPr>
      <w:r>
        <w:t>FR-011 Share Vendors Across Branches Without Exposing a Branch's Own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branch must be able to buy from a vendor the tenant shares, and no branch may read, change or buy from a vendor another branch keeps to itself.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vendor is master data rather than a document, so it reads a null branch inclusively, the reading vs_academics takes for a catalogue and vs_finance for a customer: a vendor with no branch is shared across the tenant and reachable from every branch, and a caller pinned to a branch also reaches that branch's own. Procurement documents read a null branch exclusively, and the two readings are one narrowing with one switch, chosen by the kind of row. The vendor list, the summary, the detail and update routes and the per-vendor insights are narrowed, and so is the resolver every vendor reference passes through: the vendor a purchase order, goods receipt, bill, payment, contract, RFQ invitation, quotation or assessment names, and a catalogue item's preferred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storekeeper pinned to Ikeja can read and order from the stationer the tenant shares, and cannot read, rename, see the spend of, or raise a purchase against a vendor recorded as Lekki's own. A vendor another branch keeps to itself is reported exactly as one that does not exist, so an id cannot be used to learn that it is there. ProcurementCatalogueReadingTests covers each route and the resolver, and two of its tests assert that the shared vendor stays visible from every branch, because a narrowing that hides the tenant's own stationer is as much a defect as one that shows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vendor API takes no branch input, so every vendor is created shared across the tenant and the narrowing has no effect on current data. It is in force for the day a tenant records a vendor as one branch's own, which the API cannot yet do.</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Vendor Status and Hold</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Control</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Effect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Governs selection and is rechecked before provider payout.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 hold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Blocks new purchase orders, interactive payment, payout creation, and payout dispatch.</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Independent payment gate. Every bank-field change resets VERIFIED to PENDING.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Deactivation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Removes the vendor from future selection; documents already issued keep their snapshots.</w:t>
            </w:r>
          </w:p>
        </w:tc>
      </w:tr>
    </w:tbl>
    <w:p w:rsidR="00A62A3E" w:rsidRDefault="00000000">
      <w:pPr>
        <w:pStyle w:val="Heading2"/>
        <w:keepNext/>
        <w:pBdr>
          <w:bottom w:val="single" w:sz="8" w:space="5" w:color="355B9D"/>
        </w:pBdr>
      </w:pPr>
      <w:r>
        <w:t>5.2 Contract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with its terms and milestones.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Activated through the contract service.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 TERMINATED, or EXPIRED.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Extended into a new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 again.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Ended deliberately before its date.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EXPIRED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Reached its end date without renewal.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VendorCategory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and its code.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Codes and historical links are stable identifiers.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bank name and code, account, hold, KYC, and an optional branch.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Sensitive fields gated on read and write; bank changes reset KYC. A null branch means shared across the tenant, and the API sets no other value yet.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Snapshotted into document lines, never referenced live.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VendorContract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commercial envelope and terms.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Lifecycle owned by the contract service.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ContractMilestone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deliverable and its completion.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Completed milestones are immutable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VendorAssessment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point-in-time scorecard.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only; no edit path.</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The routes below are Module 21's.</w:t>
      </w:r>
    </w:p>
    <w:p w:rsidR="00A62A3E" w:rsidRDefault="00000000">
      <w:pPr>
        <w:pStyle w:val="Heading2"/>
        <w:keepNext/>
        <w:pBdr>
          <w:bottom w:val="single" w:sz="8" w:space="5" w:color="355B9D"/>
        </w:pBdr>
      </w:pPr>
      <w:r>
        <w:t>7.1 Vendors, Categories, and Catalogue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/categories/, /categories/{id}/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/categories/insights/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and activity by category.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/vendors/, /vendors/{id}/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supplier record.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status across suppliers.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spend and payment position.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/catalog-items/, /catalog-items/{id}/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defaults.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/catalog-items/{id}/insights/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usage of one item.</w:t>
            </w:r>
          </w:p>
        </w:tc>
      </w:tr>
    </w:tbl>
    <w:p w:rsidR="00A62A3E" w:rsidRDefault="00000000">
      <w:pPr>
        <w:pStyle w:val="Heading2"/>
        <w:keepNext/>
        <w:pBdr>
          <w:bottom w:val="single" w:sz="8" w:space="5" w:color="355B9D"/>
        </w:pBdr>
      </w:pPr>
      <w:r>
        <w:t>7.2 Contracts and Assessments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/contracts/, /contracts/{id}/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/contracts/summary/, /contracts/renewals/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Position, and what to chase.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/contracts/{id}/linked-pos/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Orders raised against a contract.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/contracts/{id}/activate/, /renew/, /terminate/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lifecycle, through the contract service.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/contracts/{id}/milestones/{id}/complete/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Tick off a deliverable.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/vendor-assessments/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record scorecards.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/reports/vendor-performance/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Performance across suppliers.</w:t>
            </w:r>
          </w:p>
        </w:tc>
      </w:tr>
    </w:tbl>
    <w:p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vendor that duplicates an existing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database constraint, returned as a typed duplicate error.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duplicate category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same way.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vendor another branch keeps to itself, by id or 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Reported exactly as a vendor that does not exist: 404 on the vendor's own routes, a validation error on a document's vendor reference.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in payables and before payout provider dispatch.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terminal contract term, or a completed milestone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Reading or writing bank detail without the sensitive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Changing any vendor bank field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save succeeds but KYC becomes PENDING; a fresh verification is required before payout.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Approved payout no longer matches the current vendor master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the provider call; recreate and approve a new payout batch.</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Invites these vendors to quote and defaults requisition lines from this catalogue.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Enforces hold and KYC for payables, applies withholding, and owns vendor advances.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accounts the downstream postings touch and the audit record this module writes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the field-level policy over contacts, tax and bank detail, and the branch narrowing, which vendors apply inclusively (FR-011).</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invitations and renewal correspondence.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Uses the active verified vendor record as the authoritative payout destination and revalidates it at provider dispatch.</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Vendor work has no capability of its own: the register, contacts and categories answer to Procurement's Core band, catalogue items and vendor bills to Plus, and assessments and performance to Advanced. The former vendors capability is archived rather than deleted, because entitlements, overrides and audit history point at it.</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limitations,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NO MATERIAL CAPABILITY GAP IN SCOPE</w:t>
            </w:r>
          </w:p>
          <w:p w:rsidR="00A62A3E" w:rsidRDefault="00000000">
            <w:pPr>
              <w:spacing w:after="20"/>
              <w:ind w:left="86" w:hanging="86"/>
            </w:pPr>
            <w:r>
              <w:rPr>
                <w:sz w:val="16"/>
              </w:rPr>
              <w:t>• Verified vendor bank detail is now enforced as the payout destination. The provider bank code is governed with the other bank fields, and any banking change resets KYC before money can move again.</w:t>
            </w:r>
          </w:p>
          <w:p w:rsidR="00A62A3E" w:rsidRDefault="00000000">
            <w:pPr>
              <w:spacing w:after="20"/>
              <w:ind w:left="86" w:hanging="86"/>
            </w:pPr>
            <w:r>
              <w:rPr>
                <w:sz w:val="16"/>
              </w:rPr>
              <w:t>• Vendor prepayment accounting remains complete: the payment debit is split at source, later drawdown reclassifies the advance, and the historical backfill remains in place.</w:t>
            </w:r>
          </w:p>
          <w:p w:rsidR="00A62A3E" w:rsidRDefault="00000000">
            <w:pPr>
              <w:spacing w:after="20"/>
              <w:ind w:left="86" w:hanging="86"/>
            </w:pPr>
            <w:r>
              <w:rPr>
                <w:sz w:val="16"/>
              </w:rPr>
              <w:t>• What follows are current design limitations rather than missing capability.</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Duplicate detection is only as wide as the constraint. A supplier entered under a genuinely different name and code is not caught, and nothing reconciles two records that turn out to be one.</w:t>
            </w:r>
          </w:p>
          <w:p w:rsidR="00A62A3E" w:rsidRDefault="00000000">
            <w:pPr>
              <w:spacing w:after="20"/>
              <w:ind w:left="86" w:hanging="86"/>
            </w:pPr>
            <w:r>
              <w:rPr>
                <w:sz w:val="16"/>
              </w:rPr>
              <w:t xml:space="preserve">• The renewals list must be opened to be useful; nothing in this module pushes a warning on a schedule.</w:t>
            </w:r>
          </w:p>
          <w:p w:rsidR="00A62A3E" w:rsidRDefault="00000000">
            <w:pPr>
              <w:spacing w:after="20"/>
              <w:ind w:left="86" w:hanging="86"/>
            </w:pPr>
            <w:r>
              <w:rPr>
                <w:sz w:val="16"/>
              </w:rPr>
              <w:t xml:space="preserve">• A contract's value is a commercial commitment with no ledger effect, so nothing prevents spend beyond it.</w:t>
            </w:r>
          </w:p>
          <w:p w:rsidR="00A62A3E" w:rsidRDefault="00000000">
            <w:pPr>
              <w:spacing w:after="20"/>
              <w:ind w:left="86" w:hanging="86"/>
            </w:pPr>
            <w:r>
              <w:rPr>
                <w:sz w:val="16"/>
              </w:rPr>
              <w:t xml:space="preserve">• Vendor assessments are recorded but nothing requires one before an award, so the scorecard informs rather than gates.</w:t>
            </w:r>
          </w:p>
        </w:tc>
      </w:tr>
    </w:tbl>
    <w:p w:rsidR="00A62A3E" w:rsidRDefault="00000000">
      <w:pPr>
        <w:pStyle w:val="Heading1"/>
        <w:keepNext/>
        <w:pBdr>
          <w:bottom w:val="single" w:sz="14" w:space="5" w:color="355B9D"/>
        </w:pBdr>
      </w:pPr>
      <w:r>
        <w:t>10. MRD Traceability</w:t>
      </w:r>
    </w:p>
    <w:p w:rsidR="00A62A3E" w:rsidRDefault="00000000">
      <w:pPr>
        <w:keepNext/>
        <w:spacing w:after="120"/>
      </w:pPr>
      <w:r>
        <w:t>Module 21 carries 13 capability entries in MRD v2.76. Each maps to the requirements below. Reading a null branch as shared strengthens the vendor profile entry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Vendor categories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contacts and verified bank details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and risk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hold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Duplicate-vendor detection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catalogue items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 and contract milestones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renewal and termination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assessments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spend insights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payment-status visibility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FR-006</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that a vendor is master data and reads a null branch as shared across the tenant. The vendor list, summary, detail and update routes and per-vendor insights were not narrowed by branch at all, so a caller pinned to one branch could read another branch's vendor, rename it and read a year of its spend by naming an id. Procurement's exclusive reading of a document would have hidden the vendors a tenant shares and left a storekeeper nobody to order from, so vendors take the inclusive reading instead: the shared rows plus the caller's own, with a vendor another branch keeps to itself reported exactly as one that does not exist. New FR-011 records it, together with the resolver every vendor reference passes through, so a purchase, contract, invitation, quotation or assessment cannot name another branch's vendor. The vendor API takes no branch input, so every vendor is shared today and nothing changes on current data. FR-008 and FR-009 are corrected: both still named procurement.report.view for assessments and per-vendor insight after they moved to procurement.analytics.view. The typed errors, the Vendor data contract, the Module 4 dependency and MRD traceability are updated. Module 21 stays at 13 capabilities.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how vendor work is sold. Vendor insights, performance scoring and assessments moved from procurement.report.view to a new procurement.analytics.view, because one key covered both a category insight and a spend analysis and those are sold at different depths; the shallow insights keep the reporting key. Migration 0016 carried every grant of the reporting key onto the analytics key, denies included, so no holder lost a report. The vendors capability is retired and archived: vendor work is the shallow end of Procurement rather than a separate purchase, and a second Core band beside Procurement's own was a distinction nothing could act on, since a school reaching one always reached the other. The register, contacts and categories are Procurement Core; catalogue items and vendor bills and payments are Plus; assessments and performance are Advanced. No model, route, refusal code or audit action changed. Verified by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vendor master the authoritative payout destination. Vendor now carries the provider bank code under the same field-level policy as account name and number. Any bank-field change resets KYC to PENDING, including a request that tries to change the destination and reverify it at once. Module 18 requires an active, verified, not-held vendor with complete bank detail at creation, snapshots that destination, and rechecks the live master before provider dispatch. FR-002, FR-004, controls, data, validation, dependencies, and traceability are reconciled to Payments FRD v1.2 and MRD v2.32.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MRD v2.10 cleared the vendor-prepayment item this module had been carrying. FR-010 no longer points at an MRD entry that has gone, and Section 9 states plainly that no material capability gap remains in scope, leaving only the design limitations.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21, written against the backend at 3ba18f8. Records master data that snapshots into documents rather than being referenced live, field-level protection of bank and tax detail on both read and write, the constraint-backed duplicate guard, the hold and KYC gates enforced in the payables service, the contract state machine, immutable assessments, and the vendor-advance split that the MRD still carries as an open item.</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Vendor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Vendor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M21 Vendor Management Functional Requirements Document v1.4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M21 Vendor Management Functional Requirements Document v1.4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1.4</cp:version>
</cp:coreProperties>
</file>