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1.13</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 October 2026</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42252192 (21 October 2026)</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v2.110 | Module M05</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2"/>
      </w:pPr>
      <w:r>
        <w:t>D83-D102 Current Contracts</w:t>
      </w:r>
    </w:p>
    <w:p>
      <w:pPr/>
      <w:r>
        <w:t>These contracts state current behavior at the committed evidence boundary and replace an earlier sentence wherever the two disagree.</w:t>
      </w:r>
    </w:p>
    <w:p>
      <w:r>
        <w:t>AuditEvent and FinanceAuditLog carry the branch of the document they describe. A branch-bound reader sees only entries for their branches in lists, details, facets, counts, dashboards, CSV exports and Export Centre datasets. Finance or procurement events with no branch are whole-tenant only; unrelated tenant events such as sign-in and role changes retain their prior reach.</w:t>
      </w:r>
    </w:p>
    <w:p>
      <w:r>
        <w:t>Whole-tenant documents booked per branch, including payroll, tax and depreciation, emit one finance audit entry per branch share. Settings, fiscal years, year close, contracts and dunning remain whole-tenant records.</w:t>
      </w:r>
    </w:p>
    <w:p>
      <w:r>
        <w:t>Payroll before and after values pass through field access, and mirrored salary audit summaries contain no pay figures. Date and time wording throughout audit and record history follows the tenant display contract.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Append-only evidence: </w:t>
      </w:r>
      <w:r>
        <w:t>Database guards refuse updates and deletes on the platform audit trail. Retained financial and approval evidence therefore cannot be rewritten through an application path or a direct model delete.</w:t>
      </w:r>
    </w:p>
    <w:p>
      <w:pPr>
        <w:keepLines/>
      </w:pPr>
      <w:r>
        <w:t xml:space="preserve">• </w:t>
      </w:r>
      <w:r>
        <w:rPr>
          <w:b/>
        </w:rPr>
        <w:t xml:space="preserve">Exited actors: </w:t>
      </w:r>
      <w:r>
        <w:t>Audit actor payloads carry the explicit exited flag when the actor resolves to a staff account, while historical display names remain intact.</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The central audit trail records who acted, what action occurred, the document, branch and time without copying business values into its summary.</w:t>
      </w:r>
    </w:p>
    <w:p>
      <w:pPr>
        <w:spacing w:after="60"/>
      </w:pPr>
      <w:r>
        <w:t>• Value-bearing finance history is stored as per-field before and after data and filtered for the reader. Older rows are rebuilt on read so a hidden field cannot leak through a historical sentence.</w:t>
      </w:r>
    </w:p>
    <w:p>
      <w:pPr>
        <w:spacing w:after="60"/>
      </w:pPr>
      <w:r>
        <w:t>• Approval, search, Field Access, Paystack terminal, refund, payroll and academic decisions emit tenant-scoped evidence through their owning modules.</w:t>
      </w:r>
    </w:p>
    <w:p>
      <w:pPr>
        <w:pStyle w:val="Heading1"/>
        <w:keepNext/>
        <w:pBdr>
          <w:bottom w:val="single" w:sz="14" w:space="5" w:color="355B9D"/>
        </w:pBdr>
      </w:pPr>
      <w:r>
        <w:t>Current Contracts at 21 October 2026</w:t>
      </w:r>
    </w:p>
    <w:p>
      <w:r>
        <w:t>Messaging writes audit evidence under the MESSAGES module key. Group membership and ownership changes, broadcast creation, oversight inspection, and conversation export use the registered action vocabulary and carry tenant, actor, target, branch scope, and the minimum identifying metadata.</w:t>
      </w:r>
    </w:p>
    <w:p>
      <w:r>
        <w:t>An inspection is read-only and audited every time. Audit and notification records never copy message text; they retain conversation identifiers and operational facts only.</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v2.110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v2.110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Summary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1.13</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21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Adds the MESSAGES module key and Module 32 audit event contracts.</w:t>
            </w:r>
          </w:p>
        </w:tc>
      </w:tr>
      <w:tblPr>
        <w:tblW w:w="10468" w:type="dxa"/>
        <w:jc w:val="center"/>
        <w:tblLayout w:type="fixed"/>
        <w:tblLook w:val="04A0" w:firstRow="1" w:lastRow="0" w:firstColumn="1" w:lastColumn="0" w:noHBand="0" w:noVBand="1"/>
      </w:tblP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1.11</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7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900"/>
        <w:gridCol w:w="1400"/>
        <w:gridCol w:w="8168"/>
      </w:tblGrid>
      <w:tr>
        <w:trP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1.12</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1.11</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7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1.10</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 Oct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1.9</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30 Sep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v1.13</dc:title>
  <cp:lastModifiedBy>Chidera Ohiaekpete</cp:lastModifiedBy>
  <cp:revision>1</cp:revision>
  <cp:lastPrinted>2026-07-17T18:03:00Z</cp:lastPrinted>
  <dcterms:created xsi:type="dcterms:W3CDTF">2026-07-17T18:03:00Z</dcterms:created>
  <dcterms:modified xsi:type="dcterms:W3CDTF">2026-08-19T12:00:00Z</dcterms:modified>
  <cp:version>1.13</cp:version>
</cp:coreProperties>
</file>