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1.19</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21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42252192 (21 October 2026)</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v2.110 | Module M08</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vs_audit, vs_health, vs_procurement, vs_finance, vs_workflow, schools/core/fal,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recipient product's name and public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 tenant's overrides for all of its branches, and one branch's own overrides for the emails sent about a branch. Every settings and template change is audited.</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Whether a school's approvals notify anybody at all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7, Workflow &amp; Approval Engine. Its one whole-school switch, workflow.notifications.enabled in the Module 6 configuration catalogue, is read before an approval event is raised: off, the approval events are never raised, so nothing reaches this module on any channel, the in-app one included. The school app shows it in Settings &gt; Notifications above this module's settings (school-fe 78cd90d), which is not proof of deployment.</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Which emails fire belongs to the school, and below it to each branch for the emails sent about a branch; the wording of every message belongs to the platform. A caller's branch reach decides which of the school's scopes they may configure.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per event for the whole school, and for any of its branches.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a tenant key held by default by school_admin and branch_admin, inside their own tenant, with reach over the whole school</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Branch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for their own branches only, for the events sent about a branch, and read the whole school's choices without changing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The same key, with reach limited to some branches. A whole-school change is refused with BRANCH_SCOPE_REQUIRED.</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 Set the platform default layer every tenant inherits.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 a platform key no school role can hold, so the wording of every message is the platform's; communication.communication_permissions.enforce in the platform tenant for the default layer</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branch row, for an event sent about a branch (FR-016), over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and at a branch only the branches their reach covers.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or per branch,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dynamic email_brand and brand_logo_url placeholders. Dispatch groups recipients by owning tenant and supplies product identity for each group. The CodeX default takes its public logo from Platform Settings. The schools FAL recognises a school-product tenant and returns XVS with the transparent blue mark hosted at SCHOOL_APP_BASE_URL/svg/logo-blue.svg. The engine imports only the configured provider path and therefore remains domain-neutral. Migration 0020 replaces retired CodeX Vision copy with email_brand in existing subjects, bodies and action labels, then regenerates only html_is_custom=false markup.</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Platform recipients receive a CodeX header and configured CodeX logo. School-product recipients receive an XVS header and the transparent blue XVS mark, even when message context also names a tenant, issuer or entity. The same dispatch may render each owning tenant with its own product identity. Changing a standard template changes its markup; changing a hand-edited one does not. Migration 0020 preserves staff-authored HTML. ProductEmailBrandTests, DispatchTests, and ProductBrandingMigrationTests cover the resolver, both audiences, obsolete-name removal, and migration preservation.</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while substituted values are not. Subject and plain-text bodies render with escaping off. A logo address is checked where it is resolved as well as where a document is composed. Stored markup substitutes the logo inside the image source at send time, so anything but an absolute http or https address is refused. When a usable product logo is absent, the standard header falls back to the CodeX initials CX rather than a broken image.</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delivered HTML and is not executable. Hand-written markup inherits the same render-time rule. EmailBrandMarkTests proves only an absolute http or https address becomes an image and that a URL cannot break out of the image attribute; ProductEmailBrandTests proves each configured product supplies the expected public logo.</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FR-016 Let Each Branch Set Its Own Emails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FR-016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One branch switching off an email must not switch it off for another. When the only row a branch administrator could write was the whole school's, Ikeja muting fee emails muted Lekki's parents as well.</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NotificationSetting carries an optional branch (migration 0019): one row per tenant, branch, event and channel, the whole-tenant row still unique on its own, and a check that a branch row names its tenant. NotificationEventType.branch_scoped is true for exactly the events whose every sender names the branch the event is about: billing.invoice_issued, billing.statement_issued, billing.debit_note_issued, billing.credit_note_issued, billing.payment_received and billing.invoice_overdue, and workflow.stage_activated, workflow.rejected, workflow.returned and workflow.final_approved. An invoice, receipt, note or overdue notice passes the branch it is filed under, a statement the customer's branch, and a workflow notice the instance's. A branch row is consulted only for a branch_scoped event and only for recipients owned by that branch's tenant, so a school's branch never silences platform staff. GET and PATCH /notify/settings/ take ?branch=&lt;id&gt;; each row carries source (branch, tenant, platform or default), branch_scoped and can_edit. At a branch, true or false writes the branch's own row and null removes it, so the branch follows the whole school again.</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branch must belong to the asserted tenant and lie inside the caller's reach; an unknown, foreign or unreached branch, and any branch at the platform layer, answer the same 404. A caller whose reach is limited to some branches reads the whole school with can_edit false on every row, and a whole-school PATCH from them is refused 403 BRANCH_SCOPE_REQUIRED, even in a school with one branch. At a branch, an event that is not branch_scoped is refused per item with BRANCH_NOT_CONFIGURABLE; null without a branch is refused with RESET_NEEDS_BRANCH. One refused item writes nothing. Ikeja switching an email off silences Ikeja alone, a branch may keep an email the school switched off, and the matrix still costs two queries at a branch (tests_branch_settings, 35 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branch may set only the ten branch-scoped events. An event that any sender raises without a branch stays a whole-school setting, because a branch choice it could not honour would be a switch that does nothing. The platform default layer has no branches.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FR-017 Record Who Changed a Setting or a Template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FR-017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A bursar who stops receiving payment emails, or a school whose invoice email suddenly reads differently, must be able to find out who changed it and when.</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Both administrative write paths call one service, vs_notifications/services/audit.py, which writes CONFIG / CONFIG_CHANGED to the platform audit trail, the pair Module 6 uses for its own value changes. A settings write records one event per event and channel whose stored value at that layer changed, with the value before and after, the layer (platform, tenant or branch, the branch named in the entity id, summary and metadata), and whether the row was created or removed. A template create or edit records the columns that changed, before and after: subject, body, action label and address, markup, markup ownership and active state.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Switching a channel off and back on writes two records. Re-sending a stored value, an edit that changes nothing, and a refused PATCH record nothing. A platform-layer change is recorded as the platform's, and a branch change and its reset name the branch (NotificationChangeAuditTests, BranchSettingAuditTests).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Recording is best effort by the audit trail's own contract: a failure to record never undoes the change.</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 and, where it has one, the branch the event is about.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The branch row for a branch-scoped event, counted only inside that branch's own tenant, then the owner row, then the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product identity for the recipient's owning tenant is added, then 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Platform recipients render CodeX and its configured logo; school-product recipients render XVS and its transparent blue mark. 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recipient product's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 branch_scoped is true when every sender names the branch the event is about, so a branch may set it for itself.</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dynamic email_brand and brand_logo_url placeholders.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for all of its branches, one per branch per pair for a branch's own choice, and a platform row with no tenant. Constrained so each layer holds at most one, a branch row names its tenant, and the platform layer has no branches. Deleting a branch removes its own rows.</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are scoped to the caller's tenant or one of its branches, and history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tenant, or with ?branch=&lt;id&gt; for one of its branches, and overrides by event and channel. Rows carry source, branch_scoped and can_edit. At a branch, null removes the branch's own value. Atomic, and every change is audited (FR-017).</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?branch= that is unknown, another tenant's or outside the caller's reach, or any branch at the platform layer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404, identical in every case.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whole-school settings change by a caller whose reach is limited to some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403, BRANCH_SCOPE_REQUIRED.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Setting, at a branch, an event that is not sent about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BRANCH_NOT_CONFIGURABLE, per item.</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Resetting a value to null without naming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RESET_NEEDS_BRANCH, per item.</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 The template key is platform-scoped; the settings and history keys are tenant keys held by school_admin and branch_admin, and the caller's branch reach decides which of the school's scopes they may configure.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plus the configured public CodeX logo used for platform-recipient email.</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 Every settings and template change is written to it as CONFIG_CHANGED (FR-017).</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lifecycle details, readable local review and activation timestamps, the readable expiry deadline, and separate ageing and suspended lists. Existing machine-readable date, timestamp, and branding keys remain available for customized template compatibility; standard HTML uses the XVS product identity selected at dispatch.</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and 17, branch senders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Name the branch an event is about when they raise it: the workflow instance's branch, the branch an invoice, receipt, credit or debit note or overdue invoice is filed under, and the customer's branch for a statement. That branch's own settings decide the branch-scoped events (FR-016).</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pPr>
        <w:pStyle w:val="Heading2"/>
      </w:pPr>
      <w:r>
        <w:t>Current Functional Contracts</w:t>
      </w:r>
    </w:p>
    <w:p>
      <w:pPr/>
      <w:r>
        <w:t>These contracts state the current behavior at the code baseline and govern where an earlier sentence in this document describes an older rule.</w:t>
      </w:r>
    </w:p>
    <w:p>
      <w:r>
        <w:t>The immutable finance.fiscal_calendar_expiring event warns whole-school holders of finance.period.create weekly, daily in the last seven days, and once postings fail. It is delivered in-app and by email.</w:t>
      </w:r>
    </w:p>
    <w:p>
      <w:r>
        <w:t>When activity is proxied, notification and activity wording may name the real actor for the effective user. This keeps the recipient-facing explanation aligned with the audit record.</w:t>
      </w:r>
    </w:p>
    <w:p>
      <w:pPr>
        <w:pStyle w:val="Heading2"/>
      </w:pPr>
      <w:r>
        <w:t>D83-D102 Current Contracts</w:t>
      </w:r>
    </w:p>
    <w:p>
      <w:pPr/>
      <w:r>
        <w:t>These contracts state current behavior at the committed evidence boundary and replace an earlier sentence wherever the two disagree.</w:t>
      </w:r>
    </w:p>
    <w:p>
      <w:r>
        <w:t>Notification contexts carry human-formatted dates and times while stored identifiers and audit metadata remain machine values. Onboarding, password reset, finance, procurement, approval and payment messages use the recipient tenant's current display contract when rendered.</w:t>
      </w:r>
    </w:p>
    <w:p>
      <w:r>
        <w:t>workflow.approver_removed tells a removed approver that a request no longer needs their decision. A newly added waiting approver receives the ordinary stage-activated event.</w:t>
      </w:r>
    </w:p>
    <w:p>
      <w:r>
        <w:t>student.suspended is active for in-app and email delivery. The configured primary guardian, all guardians or nobody receives it; unreachable recipients are skipped without substitution. A lifting or automatic end of suspension sends no notice.</w:t>
      </w:r>
    </w:p>
    <w:p>
      <w:r>
        <w:t>payroll.payslip_ready and payroll.payslip_emailed are controlled by tenant settings and are emitted only after payment commits. Their notification history contains no pay amount. payments.dispute_received and held-ledger mismatch notices reach the appropriate tenant and CodeX operators.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Readable sources: </w:t>
      </w:r>
      <w:r>
        <w:t>Notification records carry source_module_label beside the stored module key, so product screens do not have to expose internal codes.</w:t>
      </w:r>
    </w:p>
    <w:p>
      <w:pPr>
        <w:keepLines/>
      </w:pPr>
      <w:r>
        <w:t xml:space="preserve">• </w:t>
      </w:r>
      <w:r>
        <w:rPr>
          <w:b/>
        </w:rPr>
        <w:t xml:space="preserve">Delivery evidence: </w:t>
      </w:r>
      <w:r>
        <w:t>Financial retention and returned-document changes do not infer delivery. Notification history remains a delivery record under its existing access rules.</w:t>
      </w:r>
    </w:p>
    <w:p>
      <w:pPr>
        <w:pStyle w:val="Heading1"/>
        <w:keepNext/>
        <w:pBdr>
          <w:bottom w:val="single" w:sz="14" w:space="5" w:color="355B9D"/>
        </w:pBdr>
      </w:pPr>
      <w:r>
        <w:t>Current Contracts at 19 October 2026</w:t>
      </w:r>
    </w:p>
    <w:p>
      <w:r>
        <w:t>Push joins in-app and email as the third delivery channel. Web Push uses per-event tenant and branch settings, dedicated templates and subscribed devices. Lock-screen text names what happened but carries no marks, positions or amounts. A shared device prefixes the recipient’s first name, and a push service response that says the subscription is gone removes it.</w:t>
      </w:r>
    </w:p>
    <w:p>
      <w:r>
        <w:t>The environment supplies one VAPID key pair through WEB_PUSH_VAPID_PUBLIC_KEY, WEB_PUSH_VAPID_PRIVATE_KEY and WEB_PUSH_CONTACT. Push is disabled when they are absent. A device subscription bound to a device session ends when that session ends.</w:t>
      </w:r>
    </w:p>
    <w:p>
      <w:r>
        <w:t>notices.published_parent tells each linked parent once per child by in-app and email, subject to notices.tell_parents. gradebook.result_released tells a pupil with a portal account by in-app and push that the result is ready, with no result figures in the message.</w:t>
      </w:r>
    </w:p>
    <w:p w14:paraId="64FD38A1" w14:textId="77777777" w:rsidR="00A62A3E" w:rsidRDefault="00000000">
      <w:pPr>
        <w:pStyle w:val="Heading1"/>
        <w:keepNext/>
        <w:pBdr>
          <w:bottom w:val="single" w:sz="14" w:space="5" w:color="355B9D"/>
        </w:pBdr>
      </w:pPr>
      <w:r>
        <w:t>Current Contracts at 21 October 2026</w:t>
      </w:r>
    </w:p>
    <w:p>
      <w:r>
        <w:t>Module 32 emits four new-message events for staff direct, family, pupil, and group or broadcast activity. Module 8 owns their templates and in-app, email, and push delivery; metadata contains the conversation identifier and destination route but never message text.</w:t>
      </w:r>
    </w:p>
    <w:p>
      <w:r>
        <w:t>Pupil alerts open the student messages route, guardian alerts open the parent messages route, and staff alerts open the staff inbox. Reading the conversation acknowledges its matching alerts through the shared record-family contract.</w:t>
      </w:r>
    </w:p>
    <w:p>
      <w:r>
        <w:t>When a payment provider closes a pupil virtual account, the replacement flow tells the linked family that new account details are available. The delivery uses the existing payment-account notification family and contains only the replacement account details required by that contract.</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CURRENT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or per branch.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v2.110. Each maps to the requirements below. A branch's own settings strengthen the effective matrix and the per-school overrides, and the record of settings and template changes strengthens notification audit events and templates,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 FR-016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retries, and transactional operational alerts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FR-004, 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 FR-017</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Version</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Date</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21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Messaging events, routes and acknowledgement, plus replaced-account family delivery.</w:t>
            </w:r>
          </w:p>
        </w:tc>
      </w:tr>
      <w:tblPr>
        <w:tblW w:w="10468" w:type="dxa"/>
        <w:jc w:val="center"/>
        <w:tblLayout w:type="fixed"/>
        <w:tblLook w:val="04A0" w:firstRow="1" w:lastRow="0" w:firstColumn="1" w:lastColumn="0" w:noHBand="0" w:noVBand="1"/>
      </w:tblP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Standard email identity now follows the recipient's product surface. Platform recipients render CodeX and the configured platform logo, defaulting to the CodeX icon served by the console; school-product recipients render XVS and the transparent blue XVS mark. A configured provider keeps the notification engine domain-neutral. Migration 0020 replaces retired CodeX Vision copy with the dynamic product name and regenerates only platform-maintained HTML, preserving staff-authored HTML. Updates scope, FR-006, FR-007, dispatch lifecycle, data and dependency contracts, and MRD traceability. Module status and its 22 capabilities are unchanged. The 237-test notifications app and the 430-test user app passed. Backend evidence only; nothing here claims deployment.</w:t>
            </w:r>
          </w:p>
        </w:tc>
      </w:t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1.18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19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Adds Web Push, pupil result notices and parent notice delivery.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Standard email identity now follows the recipient's product surface. Platform recipients render CodeX and the configured platform logo, defaulting to the CodeX icon served by the console; school-product recipients render XVS and the transparent blue XVS mark. A configured provider keeps the notification engine domain-neutral. Migration 0020 replaces retired CodeX Vision copy with the dynamic product name and regenerates only platform-maintained HTML, preserving staff-authored HTML. Updates scope, FR-006, FR-007, dispatch lifecycle, data and dependency contracts, and MRD traceability. Module status and its 22 capabilities are unchanged. The 237-test notifications app and the 430-test user app passed.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27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branch sets its own notification emails. NotificationSetting gains an optional branch (migration 0019) and NotificationEventType a branch_scoped flag, true for the six billing and four workflow events whose every sender names the branch the event is about. Resolution is branch, then school, then platform, then the event default, and a branch speaks only for recipients its own school owns. The settings routes take ?branch=, rows carry source, branch_scoped and can_edit, and three refusals are added: BRANCH_SCOPE_REQUIRED, BRANCH_NOT_CONFIGURABLE and RESET_NEEDS_BRANCH. A branch administrator changes only their own branches' settings. Which emails fire is the school's; the wording of every message is the platform's. Every settings change and every template create or edit writes a CONFIG_CHANGED audit record. Adds FR-016 and FR-017 and updates scope, actors, FR-002, the dispatch workflow, the data model, the API contracts, dependencies, Needs Attention and traceability, and records that the school-wide Approval emails switch belongs to Module 7. The two resolved boxes leave Needs Attention, which holds current gaps only. Module 8 stays at 22 capability entries; the background delivery entry takes the MRD's wording, background delivery, retries, and transactional operational alerts, and maps FR-004, the transactional events no entry traced. Verified against backend 570410e1 and 98e98798, where vs_notifications ran 224 tests, vs_workflow 430, vs_finance 873 and vs_rbac 892, all passing; not rerun for this revision.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1.19</cp:version>
  <dc:title>XVS M08 Notifications and Delivery Functional Requirements Document v1.19</dc:title>
</cp:coreProperties>
</file>