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42252192 (21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v2.110 | Module M18</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can be given a dedicated virtual account that credits the entity ledger. The platform checks active accounts every day and replaces an account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create_virtual_account provisions through the provider and records the account against the customer and the deposit account it books to. set_virtual_account_status governs activation and deactivation. check_virtual_account_standing pages active accounts, asks the provider for standing, replaces a closed account through the existing issue path, and queues a family notice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 A provider-closed account is replaced once and the family receives the new account details through Module 8.</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2"/>
        <w:keepNext/>
        <w:pBdr>
          <w:bottom w:val="single" w:sz="8" w:space="5" w:color="355B9D"/>
        </w:pBdr>
      </w:pPr>
      <w:r>
        <w:t>FR-027 Verify and Replace Provider-Closed Virtual Accounts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platform must verify active pupil virtual accounts with their provider and replace one the provider has closed.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check_virtual_account_standing pages active accounts, verifies standing through the account provider, and calls the existing replacement service under the account lock. The replacement emits the family notification after commit.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closed account receives one active replacement with the same tenant, entity, branch and customer scope; a repeated run is idempotent and the family is told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job runs only when Celery beat and a worker are operating, and production scheduling is not inferred from repository evidence.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Held-custody refunds reserve the branch held balance and call Paystack only after approval. Confirmed refunds book customer credit against gateway clearing; failed refunds return to draft.</w:t>
      </w:r>
    </w:p>
    <w:p>
      <w:pPr>
        <w:spacing w:after="60"/>
      </w:pPr>
      <w:r>
        <w:t>• The public collection-status route is unsigned but throttled and returns only status, amount, payee name and paid time. Random references prevent enumeration; old sequential references answer not found.</w:t>
      </w:r>
    </w:p>
    <w:p>
      <w:pPr>
        <w:spacing w:after="60"/>
      </w:pPr>
      <w:r>
        <w:t>• Each branch can have a Paystack Virtual Terminal. Terminal money books to that branch, can match one customer by email, otherwise waits for branch-only review, and direct-custody terminals route through the branch subaccount.</w:t>
      </w:r>
    </w:p>
    <w:p>
      <w:pPr>
        <w:spacing w:after="60"/>
      </w:pPr>
      <w:r>
        <w:t>• Payroll payouts run per branch from held balances, reserve and book transfer fees, retry failed lines or record bank payment, and never spend another tenant's held money.</w:t>
      </w:r>
    </w:p>
    <w:p>
      <w:pPr>
        <w:spacing w:after="60"/>
      </w:pPr>
      <w:r>
        <w:t>• Current gaps: Paystack refund and transfer timing and payload facts remain unconfirmed; unmatched terminal receipts and failed payroll payouts have no notification.</w:t>
      </w:r>
    </w:p>
    <w:p>
      <w:pPr>
        <w:pStyle w:val="Heading1"/>
        <w:keepNext/>
        <w:pBdr>
          <w:bottom w:val="single" w:sz="14" w:space="5" w:color="355B9D"/>
        </w:pBdr>
      </w:pPr>
      <w:r>
        <w:t>Current Contracts at 19 October 2026</w:t>
      </w:r>
    </w:p>
    <w:p>
      <w:r>
        <w:t>Payment history records whether money came from a transfer account, an online checkout or the school. Portal collections record the parent or pupil account that started them, use PORTAL origin, and notify that account when confirmed. Provider method is retained as card, bank transfer, USSD or other.</w:t>
      </w:r>
    </w:p>
    <w:p>
      <w:r>
        <w:t>A pupil’s permanent virtual account may be opened on request and is also attempted after the first bill posts. Issue is skipped where pupil payments are disabled, the provider is off, dedicated accounts are unsupported or the branch cannot receive directly. Missing customer details create VIRTUAL_ACCOUNT_NOT_ISSUED evidence without values; provider outages retry five times before recording failure.</w:t>
      </w:r>
    </w:p>
    <w:p>
      <w:r>
        <w:t>The billing email is preferred, then the primary guardian email. Because the provider permits one active customer per email across the platform, an email already used for another pupil is not reused; that pupil receives an account through the stand-in path. Email check and issue are locked so siblings billed together are decided one at a time.</w:t>
      </w:r>
    </w:p>
    <w:p>
      <w:r>
        <w:t>A transfer without a named bill settles open bills in receipt-allocation order within its branch when apply_transfers_automatically is on, default on, and keeps any excess as credit. Turning it off keeps the whole transfer as credit. Checkout and desk receipts are unchanged.</w:t>
      </w:r>
    </w:p>
    <w:p w:rsidR="00A62A3E" w:rsidRDefault="00000000">
      <w:pPr>
        <w:pStyle w:val="Heading1"/>
        <w:keepNext/>
        <w:pBdr>
          <w:bottom w:val="single" w:sz="14" w:space="5" w:color="355B9D"/>
        </w:pBdr>
      </w:pPr>
      <w:r>
        <w:t>Current Contracts at 21 October 2026</w:t>
      </w:r>
    </w:p>
    <w:p>
      <w:r>
        <w:t>A daily standing check pages active pupil virtual accounts and asks the owning provider whether each account remains open. A provider-closed account is replaced through the existing idempotent issue path, preserving tenant, entity, branch, customer, and provider isolation.</w:t>
      </w:r>
    </w:p>
    <w:p>
      <w:r>
        <w:t>Replacement queues a family notice only after commit. A retry or repeated standing response does not create another active account or duplicate the notice. The scheduled task requires the ordinary Celery worker and beat process.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v2.110.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Version</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Date</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Summary</w:t>
            </w:r>
            <w:r>
              <w:rPr>
                <w:b w:val="0"/>
                <w:sz w:val="14"/>
              </w:rPr>
            </w:r>
          </w:p>
        </w:tc>
      </w:tr>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1.19</w:t>
            </w:r>
            <w:r>
              <w:rPr>
                <w:b w:val="0"/>
                <w:sz w:val="14"/>
              </w:rPr>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21 October 2026</w:t>
            </w:r>
            <w:r>
              <w:rPr>
                <w:b w:val="0"/>
                <w:sz w:val="14"/>
              </w:rPr>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Adds daily virtual-account standing checks and idempotent family-notified replacement.</w:t>
            </w:r>
            <w:r>
              <w:rPr>
                <w:b w:val="0"/>
                <w:sz w:val="14"/>
              </w:rPr>
            </w:r>
          </w:p>
        </w:tc>
      </w:tr>
      <w:tblPr>
        <w:tblW w:w="10468" w:type="dxa"/>
        <w:jc w:val="center"/>
        <w:tblLayout w:type="fixed"/>
        <w:tblLook w:val="04A0" w:firstRow="1" w:lastRow="0" w:firstColumn="1" w:lastColumn="0" w:noHBand="0" w:noVBand="1"/>
      </w:tblPr>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1.17</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portal payment sources, first-bill virtual accounts and automatic transfer allocation.</w:t>
            </w:r>
          </w:p>
        </w:tc>
      </w:tr>
      <w:tblGrid>
        <w:gridCol w:w="1200"/>
        <w:gridCol w:w="1600"/>
        <w:gridCol w:w="7668"/>
      </w:tblGrid>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1.17</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1.19</cp:version>
</cp:coreProperties>
</file>