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726E813" w14:textId="77777777" w:rsidR="00A62A3E" w:rsidRDefault="00000000">
      <w:pPr>
        <w:spacing w:before="1440" w:after="1280"/>
      </w:pPr>
      <w:r>
        <w:rPr>
          <w:rFonts w:ascii="Aptos Display" w:hAnsi="Aptos Display"/>
          <w:b/>
          <w:color w:val="355B9D"/>
          <w:sz w:val="72"/>
        </w:rPr>
        <w:drawing>
          <wp:inline xmlns:a="http://schemas.openxmlformats.org/drawingml/2006/main" xmlns:pic="http://schemas.openxmlformats.org/drawingml/2006/picture">
            <wp:extent cx="603181" cy="502920"/>
            <wp:docPr id="1" name="Picture 1"/>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603181" cy="502920"/>
                    </a:xfrm>
                    <a:prstGeom prst="rect"/>
                  </pic:spPr>
                </pic:pic>
              </a:graphicData>
            </a:graphic>
          </wp:inline>
        </w:drawing>
      </w:r>
    </w:p>
    <w:tbl>
      <w:tblPr>
        <w:tblW w:w="8352" w:type="dxa"/>
        <w:tblLayout w:type="fixed"/>
        <w:tblLook w:val="04A0" w:firstRow="1" w:lastRow="0" w:firstColumn="1" w:lastColumn="0" w:noHBand="0" w:noVBand="1"/>
      </w:tblPr>
      <w:tblGrid>
        <w:gridCol w:w="8352"/>
      </w:tblGrid>
      <w:tr w:rsidR="00A62A3E" w14:paraId="1E522F89" w14:textId="77777777">
        <w:tc>
          <w:tcPr>
            <w:tcW w:w="8352" w:type="dxa"/>
            <w:tcBorders>
              <w:top w:val="single" w:sz="10" w:space="0" w:color="000000"/>
              <w:left w:val="single" w:sz="10" w:space="0" w:color="000000"/>
              <w:bottom w:val="single" w:sz="10" w:space="0" w:color="000000"/>
              <w:right w:val="single" w:sz="10" w:space="0" w:color="000000"/>
            </w:tcBorders>
            <w:shd w:val="clear" w:color="auto" w:fill="355B9D"/>
            <w:tcMar>
              <w:top w:w="190" w:type="dxa"/>
              <w:left w:w="180" w:type="dxa"/>
              <w:bottom w:w="190" w:type="dxa"/>
              <w:right w:w="180" w:type="dxa"/>
            </w:tcMar>
          </w:tcPr>
          <w:p w14:paraId="1AA1E3BE" w14:textId="77777777" w:rsidR="00A62A3E" w:rsidRDefault="00000000">
            <w:pPr>
              <w:spacing w:after="140"/>
            </w:pPr>
            <w:r>
              <w:rPr>
                <w:rFonts w:ascii="Aptos Display" w:hAnsi="Aptos Display"/>
                <w:b/>
                <w:color w:val="FFFFFF"/>
                <w:sz w:val="40"/>
              </w:rPr>
              <w:t>FUNCTIONAL REQUIREMENTS DOCUMENT</w:t>
            </w:r>
          </w:p>
          <w:p w14:paraId="4FAAA466" w14:textId="77777777" w:rsidR="00A62A3E" w:rsidRDefault="00000000">
            <w:pPr>
              <w:spacing w:after="100"/>
            </w:pPr>
            <w:r>
              <w:rPr>
                <w:rFonts w:ascii="Aptos Display" w:hAnsi="Aptos Display"/>
                <w:b/>
                <w:color w:val="FFFFFF"/>
                <w:sz w:val="28"/>
              </w:rPr>
              <w:t>Module 27: Student Portal</w:t>
            </w:r>
          </w:p>
          <w:p w14:paraId="6071B59E" w14:textId="77777777" w:rsidR="00A62A3E" w:rsidRDefault="00000000">
            <w:pPr>
              <w:spacing w:after="180"/>
            </w:pPr>
            <w:r>
              <w:rPr>
                <w:color w:val="FFFFFF"/>
                <w:sz w:val="20"/>
              </w:rPr>
              <w:t>XVision Systems | Pupil self-service, notices and payments</w:t>
            </w:r>
          </w:p>
          <w:p w14:paraId="05516311" w14:textId="77777777" w:rsidR="00A62A3E" w:rsidRDefault="00000000">
            <w:pPr>
              <w:spacing w:after="0"/>
            </w:pPr>
            <w:r>
              <w:rPr>
                <w:b/>
                <w:color w:val="FFFFFF"/>
                <w:sz w:val="19"/>
              </w:rPr>
              <w:t>Prepared by: CodeX Team    Version: 1.1</w:t>
            </w:r>
          </w:p>
        </w:tc>
      </w:tr>
    </w:tbl>
    <w:p w14:paraId="51F662A0" w14:textId="77777777" w:rsidR="00A62A3E" w:rsidRDefault="00000000">
      <w:pPr>
        <w:spacing w:after="160"/>
      </w:pPr>
      <w:r>
        <w:rPr>
          <w:rFonts w:ascii="Aptos Display" w:hAnsi="Aptos Display"/>
          <w:b/>
          <w:color w:val="355B9D"/>
          <w:sz w:val="52"/>
        </w:rPr>
        <w:t>2026</w:t>
      </w:r>
    </w:p>
    <w:p w14:paraId="74327561" w14:textId="77777777" w:rsidR="00A62A3E" w:rsidRDefault="00000000">
      <w:pPr>
        <w:spacing w:after="100"/>
      </w:pPr>
      <w:r>
        <w:rPr>
          <w:color w:val="5E6B7A"/>
        </w:rPr>
        <w:t>Internal Documentation</w:t>
      </w:r>
    </w:p>
    <w:p w14:paraId="4ECE0199" w14:textId="77777777" w:rsidR="00A62A3E" w:rsidRDefault="00000000">
      <w:r>
        <w:br w:type="page"/>
      </w:r>
    </w:p>
    <w:p w14:paraId="5020320F" w14:textId="77777777" w:rsidR="00A62A3E" w:rsidRDefault="00000000">
      <w:pPr>
        <w:pStyle w:val="Heading1"/>
        <w:keepNext/>
        <w:pBdr>
          <w:bottom w:val="single" w:sz="14" w:space="5" w:color="355B9D"/>
        </w:pBdr>
      </w:pPr>
      <w:r>
        <w:lastRenderedPageBreak/>
        <w:t>Document Control</w:t>
      </w:r>
    </w:p>
    <w:tbl>
      <w:tblPr>
        <w:tblW w:w="10468" w:type="dxa"/>
        <w:jc w:val="center"/>
        <w:tblLayout w:type="fixed"/>
        <w:tblLook w:val="04A0" w:firstRow="1" w:lastRow="0" w:firstColumn="1" w:lastColumn="0" w:noHBand="0" w:noVBand="1"/>
      </w:tblPr>
      <w:tblGrid>
        <w:gridCol w:w="2520"/>
        <w:gridCol w:w="7948"/>
      </w:tblGrid>
      <w:tr w:rsidR="00A62A3E" w14:paraId="708756AF"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7E2D3D5E" w14:textId="77777777" w:rsidR="00A62A3E" w:rsidRDefault="00000000">
            <w:pPr>
              <w:spacing w:after="0"/>
            </w:pPr>
            <w:r>
              <w:rPr>
                <w:b/>
                <w:color w:val="FFFFFF"/>
                <w:sz w:val="17"/>
              </w:rPr>
              <w:t>Document</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89829C6" w14:textId="77777777" w:rsidR="00A62A3E" w:rsidRDefault="00000000">
            <w:pPr>
              <w:spacing w:after="0"/>
            </w:pPr>
            <w:r>
              <w:rPr>
                <w:color w:val="000000"/>
                <w:sz w:val="17"/>
              </w:rPr>
              <w:t>Functional Requirements Document (FRD)</w:t>
            </w:r>
          </w:p>
        </w:tc>
      </w:tr>
      <w:tr w:rsidR="00A62A3E" w14:paraId="1CB7431C"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13157BE7" w14:textId="77777777" w:rsidR="00A62A3E" w:rsidRDefault="00000000">
            <w:pPr>
              <w:spacing w:after="0"/>
            </w:pPr>
            <w:r>
              <w:rPr>
                <w:b/>
                <w:color w:val="FFFFFF"/>
                <w:sz w:val="17"/>
              </w:rPr>
              <w:t>Module</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
              <w:t>M27 | Student Portal</w:t>
            </w:r>
            <w:r>
              <w:rPr>
                <w:b w:val="0"/>
                <w:sz w:val="16"/>
              </w:rPr>
            </w:r>
          </w:p>
        </w:tc>
      </w:tr>
      <w:tr w:rsidR="00A62A3E" w14:paraId="4A6C5C17"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D9645A4" w14:textId="77777777" w:rsidR="00A62A3E" w:rsidRDefault="00000000">
            <w:pPr>
              <w:spacing w:after="0"/>
            </w:pPr>
            <w:r>
              <w:rPr>
                <w:b/>
                <w:color w:val="FFFFFF"/>
                <w:sz w:val="17"/>
              </w:rPr>
              <w:t>Version</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
              <w:t>1.1</w:t>
            </w:r>
            <w:r>
              <w:rPr>
                <w:b w:val="0"/>
                <w:sz w:val="16"/>
              </w:rPr>
            </w:r>
          </w:p>
        </w:tc>
      </w:tr>
      <w:tr w:rsidR="00A62A3E" w14:paraId="04BF5F76"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A15B32D" w14:textId="77777777" w:rsidR="00A62A3E" w:rsidRDefault="00000000">
            <w:pPr>
              <w:spacing w:after="0"/>
            </w:pPr>
            <w:r>
              <w:rPr>
                <w:b/>
                <w:color w:val="FFFFFF"/>
                <w:sz w:val="17"/>
              </w:rPr>
              <w:t>Review date</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
              <w:t>21 October 2026</w:t>
            </w:r>
            <w:r>
              <w:rPr>
                <w:b w:val="0"/>
                <w:sz w:val="16"/>
              </w:rPr>
            </w:r>
          </w:p>
        </w:tc>
      </w:tr>
      <w:tr w:rsidR="00A62A3E" w14:paraId="07F4B091"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CBDE6FE" w14:textId="77777777" w:rsidR="00A62A3E" w:rsidRDefault="00000000">
            <w:pPr>
              <w:spacing w:after="0"/>
            </w:pPr>
            <w:r>
              <w:rPr>
                <w:b/>
                <w:color w:val="FFFFFF"/>
                <w:sz w:val="17"/>
              </w:rPr>
              <w:t>Code baseline</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
              <w:t>42252192 (21 October 2026)</w:t>
            </w:r>
            <w:r>
              <w:rPr>
                <w:b w:val="0"/>
                <w:sz w:val="16"/>
              </w:rPr>
            </w:r>
          </w:p>
        </w:tc>
      </w:tr>
      <w:tr w:rsidR="00A62A3E" w14:paraId="002FA76B"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51265AC7" w14:textId="77777777" w:rsidR="00A62A3E" w:rsidRDefault="00000000">
            <w:pPr>
              <w:spacing w:after="0"/>
            </w:pPr>
            <w:r>
              <w:rPr>
                <w:b/>
                <w:color w:val="FFFFFF"/>
                <w:sz w:val="17"/>
              </w:rPr>
              <w:t>Source MRD</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
              <w:t>XVS Module Requirements Document v2.110 | Module M27</w:t>
            </w:r>
            <w:r>
              <w:rPr>
                <w:b w:val="0"/>
                <w:sz w:val="16"/>
              </w:rPr>
            </w:r>
          </w:p>
        </w:tc>
      </w:tr>
      <w:tr w:rsidR="00A62A3E" w14:paraId="568E0EB5"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F36713D" w14:textId="77777777" w:rsidR="00A62A3E" w:rsidRDefault="00000000">
            <w:pPr>
              <w:spacing w:after="0"/>
            </w:pPr>
            <w:r>
              <w:rPr>
                <w:b/>
                <w:color w:val="FFFFFF"/>
                <w:sz w:val="17"/>
              </w:rPr>
              <w:t>Primary app</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
              <w:t>schools.vs_student_portal</w:t>
            </w:r>
            <w:r>
              <w:rPr>
                <w:b w:val="0"/>
                <w:sz w:val="16"/>
              </w:rPr>
            </w:r>
          </w:p>
        </w:tc>
      </w:tr>
      <w:tr w:rsidR="00A62A3E" w14:paraId="7C13A4FA"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22D70A46" w14:textId="77777777" w:rsidR="00A62A3E" w:rsidRDefault="00000000">
            <w:pPr>
              <w:spacing w:after="0"/>
            </w:pPr>
            <w:r>
              <w:rPr>
                <w:b/>
                <w:color w:val="FFFFFF"/>
                <w:sz w:val="17"/>
              </w:rPr>
              <w:t>Supporting apps</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
              <w:t>schools.vs_students, schools.vs_calendar, schools.vs_attendance, schools.vs_gradebook, schools.core.fal, vs_user, vs_notifications, vs_finance, vs_payments</w:t>
            </w:r>
            <w:r>
              <w:rPr>
                <w:b w:val="0"/>
                <w:sz w:val="16"/>
              </w:rPr>
            </w:r>
          </w:p>
        </w:tc>
      </w:tr>
      <w:tr w:rsidR="00A62A3E" w14:paraId="2ADF563D"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18AD0B2D" w14:textId="77777777" w:rsidR="00A62A3E" w:rsidRDefault="00000000">
            <w:pPr>
              <w:spacing w:after="0"/>
            </w:pPr>
            <w:r>
              <w:rPr>
                <w:b/>
                <w:color w:val="FFFFFF"/>
                <w:sz w:val="17"/>
              </w:rPr>
              <w:t>Status</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
              <w:t>Partial. The backend app, identity, home, profile, timetable, attendance, results, fees, notices, sessions and installable-app contracts are implemented. Messages and Assignments are not built.</w:t>
            </w:r>
            <w:r>
              <w:rPr>
                <w:b w:val="0"/>
                <w:sz w:val="16"/>
              </w:rPr>
            </w:r>
          </w:p>
        </w:tc>
      </w:tr>
      <w:tr w:rsidR="00A62A3E" w14:paraId="6528EEBD"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54FC2D03" w14:textId="77777777" w:rsidR="00A62A3E" w:rsidRDefault="00000000">
            <w:pPr>
              <w:spacing w:after="0"/>
            </w:pPr>
            <w:r>
              <w:rPr>
                <w:b/>
                <w:color w:val="FFFFFF"/>
                <w:sz w:val="17"/>
              </w:rPr>
              <w:t>Owner</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957B789" w14:textId="77777777" w:rsidR="00A62A3E" w:rsidRDefault="00000000">
            <w:pPr>
              <w:spacing w:after="0"/>
            </w:pPr>
            <w:r>
              <w:rPr>
                <w:color w:val="000000"/>
                <w:sz w:val="17"/>
              </w:rPr>
              <w:t>CodeX Team</w:t>
            </w:r>
          </w:p>
        </w:tc>
      </w:tr>
      <w:tr w:rsidR="00A62A3E" w14:paraId="732C6AAC" w14:textId="77777777">
        <w:trPr>
          <w:jc w:val="center"/>
        </w:trPr>
        <w:tc>
          <w:tcPr>
            <w:tcW w:w="10469" w:type="dxa"/>
            <w:gridSpan w:val="2"/>
            <w:tcBorders>
              <w:top w:val="single" w:sz="9" w:space="0" w:color="355B9D"/>
              <w:left w:val="single" w:sz="9" w:space="0" w:color="355B9D"/>
              <w:bottom w:val="single" w:sz="9" w:space="0" w:color="355B9D"/>
              <w:right w:val="single" w:sz="9" w:space="0" w:color="355B9D"/>
            </w:tcBorders>
            <w:shd w:val="clear" w:color="auto" w:fill="EAF0FA"/>
            <w:tcMar>
              <w:top w:w="100" w:type="dxa"/>
              <w:left w:w="120" w:type="dxa"/>
              <w:bottom w:w="100" w:type="dxa"/>
              <w:right w:w="120" w:type="dxa"/>
            </w:tcMar>
          </w:tcPr>
          <w:p>
            <w:r>
              <w:t>• Implemented means committed backend behavior at the stated baseline.</w:t>
              <w:br/>
              <w:t>• No frontend delivery, deployment or operational adoption is inferred.</w:t>
              <w:br/>
              <w:t>• Gradebook build 1 is implemented; build 2 remains planned.</w:t>
            </w:r>
          </w:p>
        </w:tc>
      </w:tr>
    </w:tbl>
    <w:p w14:paraId="0A054924" w14:textId="77777777" w:rsidR="00A62A3E" w:rsidRDefault="00000000">
      <w:r>
        <w:br w:type="page"/>
      </w:r>
    </w:p>
    <w:p w14:paraId="07D398E9" w14:textId="77777777" w:rsidR="00A62A3E" w:rsidRDefault="00000000">
      <w:pPr>
        <w:pStyle w:val="Heading1"/>
        <w:keepNext/>
        <w:pBdr>
          <w:bottom w:val="single" w:sz="14" w:space="5" w:color="355B9D"/>
        </w:pBdr>
      </w:pPr>
      <w:r>
        <w:lastRenderedPageBreak/>
        <w:t>Table of Contents</w:t>
      </w:r>
    </w:p>
    <w:tbl>
      <w:tblPr>
        <w:tblW w:w="10468" w:type="dxa"/>
        <w:jc w:val="center"/>
        <w:tblLayout w:type="fixed"/>
        <w:tblLook w:val="04A0" w:firstRow="1" w:lastRow="0" w:firstColumn="1" w:lastColumn="0" w:noHBand="0" w:noVBand="1"/>
      </w:tblPr>
      <w:tblGrid>
        <w:gridCol w:w="3384"/>
        <w:gridCol w:w="7084"/>
      </w:tblGrid>
      <w:tr w:rsidR="00A62A3E" w14:paraId="07F4D2CE" w14:textId="77777777">
        <w:trPr>
          <w:tblHeader/>
          <w:jc w:val="center"/>
        </w:trPr>
        <w:tc>
          <w:tcPr>
            <w:tcW w:w="3384"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5B9DEA46" w14:textId="77777777" w:rsidR="00A62A3E" w:rsidRDefault="00000000">
            <w:pPr>
              <w:spacing w:after="0"/>
            </w:pPr>
            <w:r>
              <w:rPr>
                <w:b/>
                <w:color w:val="FFFFFF"/>
                <w:sz w:val="17"/>
              </w:rPr>
              <w:t>Section</w:t>
            </w:r>
          </w:p>
        </w:tc>
        <w:tc>
          <w:tcPr>
            <w:tcW w:w="7085"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54317225" w14:textId="77777777" w:rsidR="00A62A3E" w:rsidRDefault="00000000">
            <w:pPr>
              <w:spacing w:after="0"/>
            </w:pPr>
            <w:r>
              <w:rPr>
                <w:b/>
                <w:color w:val="FFFFFF"/>
                <w:sz w:val="17"/>
              </w:rPr>
              <w:t>Purpose</w:t>
            </w:r>
          </w:p>
        </w:tc>
      </w:tr>
      <w:tr>
        <w:tc>
          <w:tcPr>
            <w:tcW w:type="dxa" w:w="3384"/>
            <w:vAlign w:val="center"/>
          </w:tcPr>
          <w:p>
            <w:r/>
            <w:r>
              <w:rPr>
                <w:b w:val="0"/>
                <w:sz w:val="16"/>
              </w:rPr>
              <w:t>1. Purpose and Scope</w:t>
            </w:r>
          </w:p>
        </w:tc>
        <w:tc>
          <w:tcPr>
            <w:tcW w:type="dxa" w:w="7084"/>
            <w:vAlign w:val="center"/>
          </w:tcPr>
          <w:p>
            <w:r/>
            <w:r>
              <w:rPr>
                <w:b w:val="0"/>
                <w:sz w:val="16"/>
              </w:rPr>
              <w:t>What the module owns and the evidence boundary</w:t>
            </w:r>
          </w:p>
        </w:tc>
      </w:tr>
      <w:tr>
        <w:tc>
          <w:tcPr>
            <w:tcW w:type="dxa" w:w="3384"/>
            <w:vAlign w:val="center"/>
          </w:tcPr>
          <w:p>
            <w:r/>
            <w:r>
              <w:rPr>
                <w:b w:val="0"/>
                <w:sz w:val="16"/>
              </w:rPr>
              <w:t>2. Context and Status Model</w:t>
            </w:r>
          </w:p>
        </w:tc>
        <w:tc>
          <w:tcPr>
            <w:tcW w:type="dxa" w:w="7084"/>
            <w:vAlign w:val="center"/>
          </w:tcPr>
          <w:p>
            <w:r/>
            <w:r>
              <w:rPr>
                <w:b w:val="0"/>
                <w:sz w:val="16"/>
              </w:rPr>
              <w:t>Current implementation state and governing rules</w:t>
            </w:r>
          </w:p>
        </w:tc>
      </w:tr>
      <w:tr>
        <w:tc>
          <w:tcPr>
            <w:tcW w:type="dxa" w:w="3384"/>
            <w:vAlign w:val="center"/>
          </w:tcPr>
          <w:p>
            <w:r/>
            <w:r>
              <w:rPr>
                <w:b w:val="0"/>
                <w:sz w:val="16"/>
              </w:rPr>
              <w:t>3. Actors, Permissions, and Ownership</w:t>
            </w:r>
          </w:p>
        </w:tc>
        <w:tc>
          <w:tcPr>
            <w:tcW w:type="dxa" w:w="7084"/>
            <w:vAlign w:val="center"/>
          </w:tcPr>
          <w:p>
            <w:r/>
            <w:r>
              <w:rPr>
                <w:b w:val="0"/>
                <w:sz w:val="16"/>
              </w:rPr>
              <w:t>Who acts and what authorises them</w:t>
            </w:r>
          </w:p>
        </w:tc>
      </w:tr>
      <w:tr>
        <w:tc>
          <w:tcPr>
            <w:tcW w:type="dxa" w:w="3384"/>
            <w:vAlign w:val="center"/>
          </w:tcPr>
          <w:p>
            <w:r/>
            <w:r>
              <w:rPr>
                <w:b w:val="0"/>
                <w:sz w:val="16"/>
              </w:rPr>
              <w:t>4. Functional Requirements</w:t>
            </w:r>
          </w:p>
        </w:tc>
        <w:tc>
          <w:tcPr>
            <w:tcW w:type="dxa" w:w="7084"/>
            <w:vAlign w:val="center"/>
          </w:tcPr>
          <w:p>
            <w:r/>
            <w:r>
              <w:rPr>
                <w:b w:val="0"/>
                <w:sz w:val="16"/>
              </w:rPr>
              <w:t>Testable behavior, evidence and remaining limits</w:t>
            </w:r>
          </w:p>
        </w:tc>
      </w:tr>
      <w:tr>
        <w:tc>
          <w:tcPr>
            <w:tcW w:type="dxa" w:w="3384"/>
            <w:vAlign w:val="center"/>
          </w:tcPr>
          <w:p>
            <w:r/>
            <w:r>
              <w:rPr>
                <w:b w:val="0"/>
                <w:sz w:val="16"/>
              </w:rPr>
              <w:t>5. Workflows and Lifecycle Rules</w:t>
            </w:r>
          </w:p>
        </w:tc>
        <w:tc>
          <w:tcPr>
            <w:tcW w:type="dxa" w:w="7084"/>
            <w:vAlign w:val="center"/>
          </w:tcPr>
          <w:p>
            <w:r/>
            <w:r>
              <w:rPr>
                <w:b w:val="0"/>
                <w:sz w:val="16"/>
              </w:rPr>
              <w:t>State changes and decision points</w:t>
            </w:r>
          </w:p>
        </w:tc>
      </w:tr>
      <w:tr>
        <w:tc>
          <w:tcPr>
            <w:tcW w:type="dxa" w:w="3384"/>
            <w:vAlign w:val="center"/>
          </w:tcPr>
          <w:p>
            <w:r/>
            <w:r>
              <w:rPr>
                <w:b w:val="0"/>
                <w:sz w:val="16"/>
              </w:rPr>
              <w:t>6. Data Model and Relationships</w:t>
            </w:r>
          </w:p>
        </w:tc>
        <w:tc>
          <w:tcPr>
            <w:tcW w:type="dxa" w:w="7084"/>
            <w:vAlign w:val="center"/>
          </w:tcPr>
          <w:p>
            <w:r/>
            <w:r>
              <w:rPr>
                <w:b w:val="0"/>
                <w:sz w:val="16"/>
              </w:rPr>
              <w:t>Records owned and facts read from other modules</w:t>
            </w:r>
          </w:p>
        </w:tc>
      </w:tr>
      <w:tr>
        <w:tc>
          <w:tcPr>
            <w:tcW w:type="dxa" w:w="3384"/>
            <w:vAlign w:val="center"/>
          </w:tcPr>
          <w:p>
            <w:r/>
            <w:r>
              <w:rPr>
                <w:b w:val="0"/>
                <w:sz w:val="16"/>
              </w:rPr>
              <w:t>7. API and Validation Contracts</w:t>
            </w:r>
          </w:p>
        </w:tc>
        <w:tc>
          <w:tcPr>
            <w:tcW w:type="dxa" w:w="7084"/>
            <w:vAlign w:val="center"/>
          </w:tcPr>
          <w:p>
            <w:r/>
            <w:r>
              <w:rPr>
                <w:b w:val="0"/>
                <w:sz w:val="16"/>
              </w:rPr>
              <w:t>Routes, permissions and typed refusals</w:t>
            </w:r>
          </w:p>
        </w:tc>
      </w:tr>
      <w:tr>
        <w:tc>
          <w:tcPr>
            <w:tcW w:type="dxa" w:w="3384"/>
            <w:vAlign w:val="center"/>
          </w:tcPr>
          <w:p>
            <w:r/>
            <w:r>
              <w:rPr>
                <w:b w:val="0"/>
                <w:sz w:val="16"/>
              </w:rPr>
              <w:t>8. Field Access</w:t>
            </w:r>
          </w:p>
        </w:tc>
        <w:tc>
          <w:tcPr>
            <w:tcW w:type="dxa" w:w="7084"/>
            <w:vAlign w:val="center"/>
          </w:tcPr>
          <w:p>
            <w:r/>
            <w:r>
              <w:rPr>
                <w:b w:val="0"/>
                <w:sz w:val="16"/>
              </w:rPr>
              <w:t>Field-level read and write controls</w:t>
            </w:r>
          </w:p>
        </w:tc>
      </w:tr>
      <w:tr>
        <w:tc>
          <w:tcPr>
            <w:tcW w:type="dxa" w:w="3384"/>
            <w:vAlign w:val="center"/>
          </w:tcPr>
          <w:p>
            <w:r/>
            <w:r>
              <w:rPr>
                <w:b w:val="0"/>
                <w:sz w:val="16"/>
              </w:rPr>
              <w:t>9. Dependencies and Operational Evidence</w:t>
            </w:r>
          </w:p>
        </w:tc>
        <w:tc>
          <w:tcPr>
            <w:tcW w:type="dxa" w:w="7084"/>
            <w:vAlign w:val="center"/>
          </w:tcPr>
          <w:p>
            <w:r/>
            <w:r>
              <w:rPr>
                <w:b w:val="0"/>
                <w:sz w:val="16"/>
              </w:rPr>
              <w:t>Required modules and deployment facts</w:t>
            </w:r>
          </w:p>
        </w:tc>
      </w:tr>
      <w:tr>
        <w:tc>
          <w:tcPr>
            <w:tcW w:type="dxa" w:w="3384"/>
            <w:vAlign w:val="center"/>
          </w:tcPr>
          <w:p>
            <w:r/>
            <w:r>
              <w:rPr>
                <w:b w:val="0"/>
                <w:sz w:val="16"/>
              </w:rPr>
              <w:t>10. Needs Attention</w:t>
            </w:r>
          </w:p>
        </w:tc>
        <w:tc>
          <w:tcPr>
            <w:tcW w:type="dxa" w:w="7084"/>
            <w:vAlign w:val="center"/>
          </w:tcPr>
          <w:p>
            <w:r/>
            <w:r>
              <w:rPr>
                <w:b w:val="0"/>
                <w:sz w:val="16"/>
              </w:rPr>
              <w:t>Current gaps only</w:t>
            </w:r>
          </w:p>
        </w:tc>
      </w:tr>
      <w:tr>
        <w:tc>
          <w:tcPr>
            <w:tcW w:type="dxa" w:w="3384"/>
            <w:vAlign w:val="center"/>
          </w:tcPr>
          <w:p>
            <w:r/>
            <w:r>
              <w:rPr>
                <w:b w:val="0"/>
                <w:sz w:val="16"/>
              </w:rPr>
              <w:t>11. MRD Traceability</w:t>
            </w:r>
          </w:p>
        </w:tc>
        <w:tc>
          <w:tcPr>
            <w:tcW w:type="dxa" w:w="7084"/>
            <w:vAlign w:val="center"/>
          </w:tcPr>
          <w:p>
            <w:r/>
            <w:r>
              <w:rPr>
                <w:b w:val="0"/>
                <w:sz w:val="16"/>
              </w:rPr>
              <w:t>Capability mapping</w:t>
            </w:r>
          </w:p>
        </w:tc>
      </w:tr>
      <w:tr>
        <w:tc>
          <w:tcPr>
            <w:tcW w:type="dxa" w:w="3384"/>
            <w:vAlign w:val="center"/>
          </w:tcPr>
          <w:p>
            <w:r/>
            <w:r>
              <w:rPr>
                <w:b w:val="0"/>
                <w:sz w:val="16"/>
              </w:rPr>
              <w:t>12. Change Log</w:t>
            </w:r>
          </w:p>
        </w:tc>
        <w:tc>
          <w:tcPr>
            <w:tcW w:type="dxa" w:w="7084"/>
            <w:vAlign w:val="center"/>
          </w:tcPr>
          <w:p>
            <w:r/>
            <w:r>
              <w:rPr>
                <w:b w:val="0"/>
                <w:sz w:val="16"/>
              </w:rPr>
              <w:t>Independent FRD revision history</w:t>
            </w:r>
          </w:p>
        </w:tc>
      </w:tr>
    </w:tbl>
    <w:p w14:paraId="5F49CB47" w14:textId="77777777" w:rsidR="00A62A3E" w:rsidRDefault="00000000">
      <w:r>
        <w:br w:type="page"/>
      </w:r>
    </w:p>
    <w:p>
      <w:pPr>
        <w:pStyle w:val="Heading1"/>
      </w:pPr>
      <w:r>
        <w:t>1. Purpose and Scope</w:t>
      </w:r>
    </w:p>
    <w:p>
      <w:r>
        <w:t>Module 27 is the pupil-facing XVS application. It admits only the account linked to one Student record and composes that pupil’s home, profile, timetable, attendance, released results, fees, notices and payment routes from their owning modules. It persists portal read marks and presentation state only where the contract requires them.</w:t>
      </w:r>
    </w:p>
    <w:p>
      <w:pPr>
        <w:pStyle w:val="Heading1"/>
      </w:pPr>
      <w:r>
        <w:t>2. Context and Status Model</w:t>
      </w:r>
    </w:p>
    <w:p>
      <w:r>
        <w:t>Build 1 is committed. Setup, score sheets, moderation, compiling, approval, publishing, manual fee holds, release, report cards, student results, hubs and reminders are implemented. Build 2 remains planned for amendments, analytics, bulk upload and cumulative third-term cards.</w:t>
      </w:r>
    </w:p>
    <w:p>
      <w:pPr>
        <w:pStyle w:val="Heading1"/>
      </w:pPr>
      <w:r>
        <w:t>3. Actors, Permissions, and Ownership</w:t>
      </w:r>
    </w:p>
    <w:tbl>
      <w:tblPr>
        <w:tblW w:type="auto" w:w="0"/>
        <w:tblLook w:firstColumn="1" w:firstRow="1" w:lastColumn="0" w:lastRow="0" w:noHBand="0" w:noVBand="1" w:val="04A0"/>
      </w:tblPr>
      <w:tblGrid>
        <w:gridCol w:w="3489"/>
        <w:gridCol w:w="3489"/>
        <w:gridCol w:w="3489"/>
      </w:tblGrid>
      <w:tr>
        <w:trPr>
          <w:tblHeader w:val="true"/>
        </w:trPr>
        <w:tc>
          <w:tcPr>
            <w:tcW w:type="dxa" w:w="3489"/>
            <w:shd w:fill="1F4E78"/>
            <w:vAlign w:val="center"/>
          </w:tcPr>
          <w:p>
            <w:r/>
            <w:r>
              <w:rPr>
                <w:b/>
                <w:color w:val="FFFFFF"/>
                <w:sz w:val="16"/>
              </w:rPr>
              <w:t>Actor</w:t>
            </w:r>
          </w:p>
        </w:tc>
        <w:tc>
          <w:tcPr>
            <w:tcW w:type="dxa" w:w="3489"/>
            <w:shd w:fill="1F4E78"/>
            <w:vAlign w:val="center"/>
          </w:tcPr>
          <w:p>
            <w:r/>
            <w:r>
              <w:rPr>
                <w:b/>
                <w:color w:val="FFFFFF"/>
                <w:sz w:val="16"/>
              </w:rPr>
              <w:t>May do</w:t>
            </w:r>
          </w:p>
        </w:tc>
        <w:tc>
          <w:tcPr>
            <w:tcW w:type="dxa" w:w="3489"/>
            <w:shd w:fill="1F4E78"/>
            <w:vAlign w:val="center"/>
          </w:tcPr>
          <w:p>
            <w:r/>
            <w:r>
              <w:rPr>
                <w:b/>
                <w:color w:val="FFFFFF"/>
                <w:sz w:val="16"/>
              </w:rPr>
              <w:t>Governed by</w:t>
            </w:r>
          </w:p>
        </w:tc>
      </w:tr>
      <w:tr>
        <w:tc>
          <w:tcPr>
            <w:tcW w:type="dxa" w:w="3489"/>
            <w:vAlign w:val="center"/>
          </w:tcPr>
          <w:p>
            <w:r>
              <w:t>Pupil</w:t>
            </w:r>
            <w:r>
              <w:rPr>
                <w:b w:val="0"/>
                <w:sz w:val="16"/>
              </w:rPr>
            </w:r>
          </w:p>
        </w:tc>
        <w:tc>
          <w:tcPr>
            <w:tcW w:type="dxa" w:w="3489"/>
            <w:vAlign w:val="center"/>
          </w:tcPr>
          <w:p>
            <w:r>
              <w:t>Read and edit only their own permitted record</w:t>
            </w:r>
            <w:r>
              <w:rPr>
                <w:b w:val="0"/>
                <w:sz w:val="16"/>
              </w:rPr>
            </w:r>
          </w:p>
        </w:tc>
        <w:tc>
          <w:tcPr>
            <w:tcW w:type="dxa" w:w="3489"/>
            <w:vAlign w:val="center"/>
          </w:tcPr>
          <w:p>
            <w:r>
              <w:t>Student.user link, never a role</w:t>
            </w:r>
            <w:r>
              <w:rPr>
                <w:b w:val="0"/>
                <w:sz w:val="16"/>
              </w:rPr>
            </w:r>
          </w:p>
        </w:tc>
      </w:tr>
      <w:tr>
        <w:tc>
          <w:tcPr>
            <w:tcW w:type="dxa" w:w="3489"/>
            <w:vAlign w:val="center"/>
            <w:shd w:fill="EAF2F8"/>
          </w:tcPr>
          <w:p>
            <w:r>
              <w:t>School staff</w:t>
            </w:r>
            <w:r>
              <w:rPr>
                <w:b w:val="0"/>
                <w:sz w:val="16"/>
              </w:rPr>
            </w:r>
          </w:p>
        </w:tc>
        <w:tc>
          <w:tcPr>
            <w:tcW w:type="dxa" w:w="3489"/>
            <w:vAlign w:val="center"/>
            <w:shd w:fill="EAF2F8"/>
          </w:tcPr>
          <w:p>
            <w:r>
              <w:t>Issue, resend and revoke pupil portal access</w:t>
            </w:r>
            <w:r>
              <w:rPr>
                <w:b w:val="0"/>
                <w:sz w:val="16"/>
              </w:rPr>
            </w:r>
          </w:p>
        </w:tc>
        <w:tc>
          <w:tcPr>
            <w:tcW w:type="dxa" w:w="3489"/>
            <w:vAlign w:val="center"/>
            <w:shd w:fill="EAF2F8"/>
          </w:tcPr>
          <w:p>
            <w:r>
              <w:t>school.portal_access.issue</w:t>
            </w:r>
            <w:r>
              <w:rPr>
                <w:b w:val="0"/>
                <w:sz w:val="16"/>
              </w:rPr>
            </w:r>
          </w:p>
        </w:tc>
      </w:tr>
      <w:tr>
        <w:tc>
          <w:tcPr>
            <w:tcW w:type="dxa" w:w="3489"/>
            <w:vAlign w:val="center"/>
          </w:tcPr>
          <w:p>
            <w:r>
              <w:t>Teacher and approver</w:t>
            </w:r>
            <w:r>
              <w:rPr>
                <w:b w:val="0"/>
                <w:sz w:val="16"/>
              </w:rPr>
            </w:r>
          </w:p>
        </w:tc>
        <w:tc>
          <w:tcPr>
            <w:tcW w:type="dxa" w:w="3489"/>
            <w:vAlign w:val="center"/>
          </w:tcPr>
          <w:p>
            <w:r>
              <w:t>Publish the source facts the portal may read</w:t>
            </w:r>
            <w:r>
              <w:rPr>
                <w:b w:val="0"/>
                <w:sz w:val="16"/>
              </w:rPr>
            </w:r>
          </w:p>
        </w:tc>
        <w:tc>
          <w:tcPr>
            <w:tcW w:type="dxa" w:w="3489"/>
            <w:vAlign w:val="center"/>
          </w:tcPr>
          <w:p>
            <w:r>
              <w:t>Owning module permissions</w:t>
            </w:r>
            <w:r>
              <w:rPr>
                <w:b w:val="0"/>
                <w:sz w:val="16"/>
              </w:rPr>
            </w:r>
          </w:p>
        </w:tc>
      </w:tr>
      <w:tr>
        <w:tc>
          <w:tcPr>
            <w:tcW w:type="dxa" w:w="3489"/>
            <w:vAlign w:val="center"/>
            <w:shd w:fill="EAF2F8"/>
          </w:tcPr>
          <w:p>
            <w:r>
              <w:t>Finance staff</w:t>
            </w:r>
            <w:r>
              <w:rPr>
                <w:b w:val="0"/>
                <w:sz w:val="16"/>
              </w:rPr>
            </w:r>
          </w:p>
        </w:tc>
        <w:tc>
          <w:tcPr>
            <w:tcW w:type="dxa" w:w="3489"/>
            <w:vAlign w:val="center"/>
            <w:shd w:fill="EAF2F8"/>
          </w:tcPr>
          <w:p>
            <w:r>
              <w:t>Configure pupil payments and minimum part payment</w:t>
            </w:r>
            <w:r>
              <w:rPr>
                <w:b w:val="0"/>
                <w:sz w:val="16"/>
              </w:rPr>
            </w:r>
          </w:p>
        </w:tc>
        <w:tc>
          <w:tcPr>
            <w:tcW w:type="dxa" w:w="3489"/>
            <w:vAlign w:val="center"/>
            <w:shd w:fill="EAF2F8"/>
          </w:tcPr>
          <w:p>
            <w:r>
              <w:t>school.fees.view and school.fees.update</w:t>
            </w:r>
            <w:r>
              <w:rPr>
                <w:b w:val="0"/>
                <w:sz w:val="16"/>
              </w:rPr>
            </w:r>
          </w:p>
        </w:tc>
      </w:tr>
      <w:tr>
        <w:tc>
          <w:tcPr>
            <w:tcW w:type="dxa" w:w="3489"/>
            <w:vAlign w:val="center"/>
          </w:tcPr>
          <w:p>
            <w:r>
              <w:t>School administrator</w:t>
            </w:r>
            <w:r>
              <w:rPr>
                <w:b w:val="0"/>
                <w:sz w:val="16"/>
              </w:rPr>
            </w:r>
          </w:p>
        </w:tc>
        <w:tc>
          <w:tcPr>
            <w:tcW w:type="dxa" w:w="3489"/>
            <w:vAlign w:val="center"/>
          </w:tcPr>
          <w:p>
            <w:r>
              <w:t>Configure pupil photo edit and session days</w:t>
            </w:r>
            <w:r>
              <w:rPr>
                <w:b w:val="0"/>
                <w:sz w:val="16"/>
              </w:rPr>
            </w:r>
          </w:p>
        </w:tc>
        <w:tc>
          <w:tcPr>
            <w:tcW w:type="dxa" w:w="3489"/>
            <w:vAlign w:val="center"/>
          </w:tcPr>
          <w:p>
            <w:r>
              <w:t>school.settings.update</w:t>
            </w:r>
            <w:r>
              <w:rPr>
                <w:b w:val="0"/>
                <w:sz w:val="16"/>
              </w:rPr>
            </w:r>
          </w:p>
        </w:tc>
      </w:tr>
      <w:tr>
        <w:tc>
          <w:tcPr>
            <w:tcW w:type="dxa" w:w="3489"/>
            <w:vAlign w:val="center"/>
            <w:shd w:fill="EAF2F8"/>
          </w:tcPr>
          <w:p>
            <w:r>
              <w:t>Platform services</w:t>
            </w:r>
            <w:r>
              <w:rPr>
                <w:b w:val="0"/>
                <w:sz w:val="16"/>
              </w:rPr>
            </w:r>
          </w:p>
        </w:tc>
        <w:tc>
          <w:tcPr>
            <w:tcW w:type="dxa" w:w="3489"/>
            <w:vAlign w:val="center"/>
            <w:shd w:fill="EAF2F8"/>
          </w:tcPr>
          <w:p>
            <w:r>
              <w:t>Deliver notifications and provider work</w:t>
            </w:r>
            <w:r>
              <w:rPr>
                <w:b w:val="0"/>
                <w:sz w:val="16"/>
              </w:rPr>
            </w:r>
          </w:p>
        </w:tc>
        <w:tc>
          <w:tcPr>
            <w:tcW w:type="dxa" w:w="3489"/>
            <w:vAlign w:val="center"/>
            <w:shd w:fill="EAF2F8"/>
          </w:tcPr>
          <w:p>
            <w:r>
              <w:t>Typed service contracts and tenant scope</w:t>
            </w:r>
            <w:r>
              <w:rPr>
                <w:b w:val="0"/>
                <w:sz w:val="16"/>
              </w:rPr>
            </w:r>
          </w:p>
        </w:tc>
      </w:tr>
    </w:tbl>
    <w:p/>
    <w:p>
      <w:pPr>
        <w:pStyle w:val="Heading1"/>
      </w:pPr>
      <w:r>
        <w:t>4. Functional Requirements</w:t>
      </w:r>
    </w:p>
    <w:p>
      <w:pPr>
        <w:pStyle w:val="Heading2"/>
      </w:pPr>
      <w:r>
        <w:t>FR-001 Pupil account and admission</w:t>
      </w:r>
    </w:p>
    <w:tbl>
      <w:tblPr>
        <w:tblW w:type="auto" w:w="0"/>
        <w:tblLook w:firstColumn="1" w:firstRow="1" w:lastColumn="0" w:lastRow="0" w:noHBand="0" w:noVBand="1" w:val="04A0"/>
      </w:tblPr>
      <w:tblGrid>
        <w:gridCol w:w="5233"/>
        <w:gridCol w:w="5233"/>
      </w:tblGrid>
      <w:tr>
        <w:tc>
          <w:tcPr>
            <w:tcW w:type="dxa" w:w="10466"/>
            <w:gridSpan w:val="2"/>
            <w:shd w:fill="D9EAD3"/>
            <w:vAlign w:val="center"/>
          </w:tcPr>
          <w:p>
            <w:r>
              <w:t>FR-001 | Implemented</w:t>
            </w:r>
            <w:r>
              <w:rPr>
                <w:b/>
                <w:sz w:val="16"/>
              </w:rPr>
            </w:r>
          </w:p>
        </w:tc>
      </w:tr>
      <w:tr>
        <w:tc>
          <w:tcPr>
            <w:tcW w:type="dxa" w:w="5233"/>
            <w:vAlign w:val="center"/>
          </w:tcPr>
          <w:p>
            <w:r/>
            <w:r>
              <w:rPr>
                <w:b/>
                <w:sz w:val="16"/>
              </w:rPr>
              <w:t>Requirement</w:t>
            </w:r>
          </w:p>
        </w:tc>
        <w:tc>
          <w:tcPr>
            <w:tcW w:type="dxa" w:w="5233"/>
            <w:vAlign w:val="center"/>
          </w:tcPr>
          <w:p>
            <w:r>
              <w:t>A pupil account links to exactly one Student, holds no role, may have no email and may sign in by admission number. Every portal route admits only that linked pupil.</w:t>
            </w:r>
            <w:r>
              <w:rPr>
                <w:b w:val="0"/>
                <w:sz w:val="16"/>
              </w:rPr>
            </w:r>
          </w:p>
        </w:tc>
      </w:tr>
      <w:tr>
        <w:tc>
          <w:tcPr>
            <w:tcW w:type="dxa" w:w="5233"/>
            <w:vAlign w:val="center"/>
          </w:tcPr>
          <w:p>
            <w:r/>
            <w:r>
              <w:rPr>
                <w:b/>
                <w:sz w:val="16"/>
              </w:rPr>
              <w:t>Current evidence</w:t>
            </w:r>
          </w:p>
        </w:tc>
        <w:tc>
          <w:tcPr>
            <w:tcW w:type="dxa" w:w="5233"/>
            <w:vAlign w:val="center"/>
          </w:tcPr>
          <w:p>
            <w:r>
              <w:t>schools.vs_student_portal resolves request.user through Student.user and returns 404 NOT_A_PUPIL to every other account.</w:t>
            </w:r>
            <w:r>
              <w:rPr>
                <w:b w:val="0"/>
                <w:sz w:val="16"/>
              </w:rPr>
            </w:r>
          </w:p>
        </w:tc>
      </w:tr>
      <w:tr>
        <w:tc>
          <w:tcPr>
            <w:tcW w:type="dxa" w:w="5233"/>
            <w:vAlign w:val="center"/>
          </w:tcPr>
          <w:p>
            <w:r/>
            <w:r>
              <w:rPr>
                <w:b/>
                <w:sz w:val="16"/>
              </w:rPr>
              <w:t>Acceptance</w:t>
            </w:r>
          </w:p>
        </w:tc>
        <w:tc>
          <w:tcPr>
            <w:tcW w:type="dxa" w:w="5233"/>
            <w:vAlign w:val="center"/>
          </w:tcPr>
          <w:p>
            <w:r>
              <w:t>A pupil reaches their own record; another pupil, a staff-only account and an unknown record receive the same 404. Colliding identifiers sign nobody in.</w:t>
            </w:r>
            <w:r>
              <w:rPr>
                <w:b w:val="0"/>
                <w:sz w:val="16"/>
              </w:rPr>
            </w:r>
          </w:p>
        </w:tc>
      </w:tr>
      <w:tr>
        <w:tc>
          <w:tcPr>
            <w:tcW w:type="dxa" w:w="5233"/>
            <w:vAlign w:val="center"/>
          </w:tcPr>
          <w:p>
            <w:r/>
            <w:r>
              <w:rPr>
                <w:b/>
                <w:sz w:val="16"/>
              </w:rPr>
              <w:t>Current limit</w:t>
            </w:r>
          </w:p>
        </w:tc>
        <w:tc>
          <w:tcPr>
            <w:tcW w:type="dxa" w:w="5233"/>
            <w:vAlign w:val="center"/>
          </w:tcPr>
          <w:p>
            <w:r>
              <w:t>None.</w:t>
            </w:r>
            <w:r>
              <w:rPr>
                <w:b w:val="0"/>
                <w:sz w:val="16"/>
              </w:rPr>
            </w:r>
          </w:p>
        </w:tc>
      </w:tr>
    </w:tbl>
    <w:p/>
    <w:p>
      <w:pPr>
        <w:pStyle w:val="Heading2"/>
      </w:pPr>
      <w:r>
        <w:t>FR-002 Home and school year</w:t>
      </w:r>
    </w:p>
    <w:tbl>
      <w:tblPr>
        <w:tblW w:type="auto" w:w="0"/>
        <w:tblLook w:firstColumn="1" w:firstRow="1" w:lastColumn="0" w:lastRow="0" w:noHBand="0" w:noVBand="1" w:val="04A0"/>
      </w:tblPr>
      <w:tblGrid>
        <w:gridCol w:w="5233"/>
        <w:gridCol w:w="5233"/>
      </w:tblGrid>
      <w:tr>
        <w:tc>
          <w:tcPr>
            <w:tcW w:type="dxa" w:w="10466"/>
            <w:gridSpan w:val="2"/>
            <w:shd w:fill="D9EAD3"/>
            <w:vAlign w:val="center"/>
          </w:tcPr>
          <w:p>
            <w:r>
              <w:t>FR-002 | Implemented</w:t>
            </w:r>
            <w:r>
              <w:rPr>
                <w:b/>
                <w:sz w:val="16"/>
              </w:rPr>
            </w:r>
          </w:p>
        </w:tc>
      </w:tr>
      <w:tr>
        <w:tc>
          <w:tcPr>
            <w:tcW w:type="dxa" w:w="5233"/>
            <w:vAlign w:val="center"/>
          </w:tcPr>
          <w:p>
            <w:r/>
            <w:r>
              <w:rPr>
                <w:b/>
                <w:sz w:val="16"/>
              </w:rPr>
              <w:t>Requirement</w:t>
            </w:r>
          </w:p>
        </w:tc>
        <w:tc>
          <w:tcPr>
            <w:tcW w:type="dxa" w:w="5233"/>
            <w:vAlign w:val="center"/>
          </w:tcPr>
          <w:p>
            <w:r>
              <w:t>The home composes today’s classes and attendance, term rate, fee balance, next-due invoice, newest notice and unread notification counts.</w:t>
            </w:r>
            <w:r>
              <w:rPr>
                <w:b w:val="0"/>
                <w:sz w:val="16"/>
              </w:rPr>
            </w:r>
          </w:p>
        </w:tc>
      </w:tr>
      <w:tr>
        <w:tc>
          <w:tcPr>
            <w:tcW w:type="dxa" w:w="5233"/>
            <w:vAlign w:val="center"/>
          </w:tcPr>
          <w:p>
            <w:r/>
            <w:r>
              <w:rPr>
                <w:b/>
                <w:sz w:val="16"/>
              </w:rPr>
              <w:t>Current evidence</w:t>
            </w:r>
          </w:p>
        </w:tc>
        <w:tc>
          <w:tcPr>
            <w:tcW w:type="dxa" w:w="5233"/>
            <w:vAlign w:val="center"/>
          </w:tcPr>
          <w:p>
            <w:r>
              <w:t>GET /v1/portal/student/home/ reads each block independently from its owner.</w:t>
            </w:r>
            <w:r>
              <w:rPr>
                <w:b w:val="0"/>
                <w:sz w:val="16"/>
              </w:rPr>
            </w:r>
          </w:p>
        </w:tc>
      </w:tr>
      <w:tr>
        <w:tc>
          <w:tcPr>
            <w:tcW w:type="dxa" w:w="5233"/>
            <w:vAlign w:val="center"/>
          </w:tcPr>
          <w:p>
            <w:r/>
            <w:r>
              <w:rPr>
                <w:b/>
                <w:sz w:val="16"/>
              </w:rPr>
              <w:t>Acceptance</w:t>
            </w:r>
          </w:p>
        </w:tc>
        <w:tc>
          <w:tcPr>
            <w:tcW w:type="dxa" w:w="5233"/>
            <w:vAlign w:val="center"/>
          </w:tcPr>
          <w:p>
            <w:r>
              <w:t>A failed or unreadable block is unavailable with a sentence, never zero, while the other blocks remain. Assignments and Messages have no placeholder block.</w:t>
            </w:r>
            <w:r>
              <w:rPr>
                <w:b w:val="0"/>
                <w:sz w:val="16"/>
              </w:rPr>
            </w:r>
          </w:p>
        </w:tc>
      </w:tr>
      <w:tr>
        <w:tc>
          <w:tcPr>
            <w:tcW w:type="dxa" w:w="5233"/>
            <w:vAlign w:val="center"/>
          </w:tcPr>
          <w:p>
            <w:r/>
            <w:r>
              <w:rPr>
                <w:b/>
                <w:sz w:val="16"/>
              </w:rPr>
              <w:t>Current limit</w:t>
            </w:r>
          </w:p>
        </w:tc>
        <w:tc>
          <w:tcPr>
            <w:tcW w:type="dxa" w:w="5233"/>
            <w:vAlign w:val="center"/>
          </w:tcPr>
          <w:p>
            <w:r>
              <w:t>None.</w:t>
            </w:r>
            <w:r>
              <w:rPr>
                <w:b w:val="0"/>
                <w:sz w:val="16"/>
              </w:rPr>
            </w:r>
          </w:p>
        </w:tc>
      </w:tr>
    </w:tbl>
    <w:p/>
    <w:p>
      <w:pPr>
        <w:pStyle w:val="Heading2"/>
      </w:pPr>
      <w:r>
        <w:t>FR-003 Profile and self-edit</w:t>
      </w:r>
    </w:p>
    <w:tbl>
      <w:tblPr>
        <w:tblW w:type="auto" w:w="0"/>
        <w:tblLook w:firstColumn="1" w:firstRow="1" w:lastColumn="0" w:lastRow="0" w:noHBand="0" w:noVBand="1" w:val="04A0"/>
      </w:tblPr>
      <w:tblGrid>
        <w:gridCol w:w="5233"/>
        <w:gridCol w:w="5233"/>
      </w:tblGrid>
      <w:tr>
        <w:tc>
          <w:tcPr>
            <w:tcW w:type="dxa" w:w="10466"/>
            <w:gridSpan w:val="2"/>
            <w:shd w:fill="D9EAD3"/>
            <w:vAlign w:val="center"/>
          </w:tcPr>
          <w:p>
            <w:r>
              <w:t>FR-003 | Implemented</w:t>
            </w:r>
            <w:r>
              <w:rPr>
                <w:b/>
                <w:sz w:val="16"/>
              </w:rPr>
            </w:r>
          </w:p>
        </w:tc>
      </w:tr>
      <w:tr>
        <w:tc>
          <w:tcPr>
            <w:tcW w:type="dxa" w:w="5233"/>
            <w:vAlign w:val="center"/>
          </w:tcPr>
          <w:p>
            <w:r/>
            <w:r>
              <w:rPr>
                <w:b/>
                <w:sz w:val="16"/>
              </w:rPr>
              <w:t>Requirement</w:t>
            </w:r>
          </w:p>
        </w:tc>
        <w:tc>
          <w:tcPr>
            <w:tcW w:type="dxa" w:w="5233"/>
            <w:vAlign w:val="center"/>
          </w:tcPr>
          <w:p>
            <w:r>
              <w:t>A pupil reads their profile and may change phone, record email and, where the school allows it, photograph.</w:t>
            </w:r>
            <w:r>
              <w:rPr>
                <w:b w:val="0"/>
                <w:sz w:val="16"/>
              </w:rPr>
            </w:r>
          </w:p>
        </w:tc>
      </w:tr>
      <w:tr>
        <w:tc>
          <w:tcPr>
            <w:tcW w:type="dxa" w:w="5233"/>
            <w:vAlign w:val="center"/>
          </w:tcPr>
          <w:p>
            <w:r/>
            <w:r>
              <w:rPr>
                <w:b/>
                <w:sz w:val="16"/>
              </w:rPr>
              <w:t>Current evidence</w:t>
            </w:r>
          </w:p>
        </w:tc>
        <w:tc>
          <w:tcPr>
            <w:tcW w:type="dxa" w:w="5233"/>
            <w:vAlign w:val="center"/>
          </w:tcPr>
          <w:p>
            <w:r>
              <w:t>students.portal.photo_self_edit controls the photograph path. Password change uses Module 3 and ends every session.</w:t>
            </w:r>
            <w:r>
              <w:rPr>
                <w:b w:val="0"/>
                <w:sz w:val="16"/>
              </w:rPr>
            </w:r>
          </w:p>
        </w:tc>
      </w:tr>
      <w:tr>
        <w:tc>
          <w:tcPr>
            <w:tcW w:type="dxa" w:w="5233"/>
            <w:vAlign w:val="center"/>
          </w:tcPr>
          <w:p>
            <w:r/>
            <w:r>
              <w:rPr>
                <w:b/>
                <w:sz w:val="16"/>
              </w:rPr>
              <w:t>Acceptance</w:t>
            </w:r>
          </w:p>
        </w:tc>
        <w:tc>
          <w:tcPr>
            <w:tcW w:type="dxa" w:w="5233"/>
            <w:vAlign w:val="center"/>
          </w:tcPr>
          <w:p>
            <w:r>
              <w:t>The pupil cannot edit identity, class, status or another student. Changing record email does not change sign-in.</w:t>
            </w:r>
            <w:r>
              <w:rPr>
                <w:b w:val="0"/>
                <w:sz w:val="16"/>
              </w:rPr>
            </w:r>
          </w:p>
        </w:tc>
      </w:tr>
      <w:tr>
        <w:tc>
          <w:tcPr>
            <w:tcW w:type="dxa" w:w="5233"/>
            <w:vAlign w:val="center"/>
          </w:tcPr>
          <w:p>
            <w:r/>
            <w:r>
              <w:rPr>
                <w:b/>
                <w:sz w:val="16"/>
              </w:rPr>
              <w:t>Current limit</w:t>
            </w:r>
          </w:p>
        </w:tc>
        <w:tc>
          <w:tcPr>
            <w:tcW w:type="dxa" w:w="5233"/>
            <w:vAlign w:val="center"/>
          </w:tcPr>
          <w:p>
            <w:r>
              <w:t>None.</w:t>
            </w:r>
            <w:r>
              <w:rPr>
                <w:b w:val="0"/>
                <w:sz w:val="16"/>
              </w:rPr>
            </w:r>
          </w:p>
        </w:tc>
      </w:tr>
    </w:tbl>
    <w:p/>
    <w:p>
      <w:pPr>
        <w:pStyle w:val="Heading2"/>
      </w:pPr>
      <w:r>
        <w:t>FR-004 Timetable and attendance</w:t>
      </w:r>
    </w:p>
    <w:tbl>
      <w:tblPr>
        <w:tblW w:type="auto" w:w="0"/>
        <w:tblLook w:firstColumn="1" w:firstRow="1" w:lastColumn="0" w:lastRow="0" w:noHBand="0" w:noVBand="1" w:val="04A0"/>
      </w:tblPr>
      <w:tblGrid>
        <w:gridCol w:w="5233"/>
        <w:gridCol w:w="5233"/>
      </w:tblGrid>
      <w:tr>
        <w:tc>
          <w:tcPr>
            <w:tcW w:type="dxa" w:w="10466"/>
            <w:gridSpan w:val="2"/>
            <w:shd w:fill="D9EAD3"/>
            <w:vAlign w:val="center"/>
          </w:tcPr>
          <w:p>
            <w:r>
              <w:t>FR-004 | Implemented</w:t>
            </w:r>
            <w:r>
              <w:rPr>
                <w:b/>
                <w:sz w:val="16"/>
              </w:rPr>
            </w:r>
          </w:p>
        </w:tc>
      </w:tr>
      <w:tr>
        <w:tc>
          <w:tcPr>
            <w:tcW w:type="dxa" w:w="5233"/>
            <w:vAlign w:val="center"/>
          </w:tcPr>
          <w:p>
            <w:r/>
            <w:r>
              <w:rPr>
                <w:b/>
                <w:sz w:val="16"/>
              </w:rPr>
              <w:t>Requirement</w:t>
            </w:r>
          </w:p>
        </w:tc>
        <w:tc>
          <w:tcPr>
            <w:tcW w:type="dxa" w:w="5233"/>
            <w:vAlign w:val="center"/>
          </w:tcPr>
          <w:p>
            <w:r>
              <w:t>The pupil reads the published timetable, today’s now and next class, and their own term attendance with late days and register notes.</w:t>
            </w:r>
            <w:r>
              <w:rPr>
                <w:b w:val="0"/>
                <w:sz w:val="16"/>
              </w:rPr>
            </w:r>
          </w:p>
        </w:tc>
      </w:tr>
      <w:tr>
        <w:tc>
          <w:tcPr>
            <w:tcW w:type="dxa" w:w="5233"/>
            <w:vAlign w:val="center"/>
          </w:tcPr>
          <w:p>
            <w:r/>
            <w:r>
              <w:rPr>
                <w:b/>
                <w:sz w:val="16"/>
              </w:rPr>
              <w:t>Current evidence</w:t>
            </w:r>
          </w:p>
        </w:tc>
        <w:tc>
          <w:tcPr>
            <w:tcW w:type="dxa" w:w="5233"/>
            <w:vAlign w:val="center"/>
          </w:tcPr>
          <w:p>
            <w:r>
              <w:t>Calendar and Attendance expose pupil-safe reads through the portal composition layer.</w:t>
            </w:r>
            <w:r>
              <w:rPr>
                <w:b w:val="0"/>
                <w:sz w:val="16"/>
              </w:rPr>
            </w:r>
          </w:p>
        </w:tc>
      </w:tr>
      <w:tr>
        <w:tc>
          <w:tcPr>
            <w:tcW w:type="dxa" w:w="5233"/>
            <w:vAlign w:val="center"/>
          </w:tcPr>
          <w:p>
            <w:r/>
            <w:r>
              <w:rPr>
                <w:b/>
                <w:sz w:val="16"/>
              </w:rPr>
              <w:t>Acceptance</w:t>
            </w:r>
          </w:p>
        </w:tc>
        <w:tc>
          <w:tcPr>
            <w:tcW w:type="dxa" w:w="5233"/>
            <w:vAlign w:val="center"/>
          </w:tcPr>
          <w:p>
            <w:r>
              <w:t>No guardian record, staff record, unpublished timetable or another pupil’s attendance is returned.</w:t>
            </w:r>
            <w:r>
              <w:rPr>
                <w:b w:val="0"/>
                <w:sz w:val="16"/>
              </w:rPr>
            </w:r>
          </w:p>
        </w:tc>
      </w:tr>
      <w:tr>
        <w:tc>
          <w:tcPr>
            <w:tcW w:type="dxa" w:w="5233"/>
            <w:vAlign w:val="center"/>
          </w:tcPr>
          <w:p>
            <w:r/>
            <w:r>
              <w:rPr>
                <w:b/>
                <w:sz w:val="16"/>
              </w:rPr>
              <w:t>Current limit</w:t>
            </w:r>
          </w:p>
        </w:tc>
        <w:tc>
          <w:tcPr>
            <w:tcW w:type="dxa" w:w="5233"/>
            <w:vAlign w:val="center"/>
          </w:tcPr>
          <w:p>
            <w:r>
              <w:t>None.</w:t>
            </w:r>
            <w:r>
              <w:rPr>
                <w:b w:val="0"/>
                <w:sz w:val="16"/>
              </w:rPr>
            </w:r>
          </w:p>
        </w:tc>
      </w:tr>
    </w:tbl>
    <w:p/>
    <w:p>
      <w:pPr>
        <w:pStyle w:val="Heading2"/>
      </w:pPr>
      <w:r>
        <w:t>FR-005 Released results and report cards</w:t>
      </w:r>
    </w:p>
    <w:tbl>
      <w:tblPr>
        <w:tblW w:type="auto" w:w="0"/>
        <w:tblLook w:firstColumn="1" w:firstRow="1" w:lastColumn="0" w:lastRow="0" w:noHBand="0" w:noVBand="1" w:val="04A0"/>
      </w:tblPr>
      <w:tblGrid>
        <w:gridCol w:w="5233"/>
        <w:gridCol w:w="5233"/>
      </w:tblGrid>
      <w:tr>
        <w:tc>
          <w:tcPr>
            <w:tcW w:type="dxa" w:w="10466"/>
            <w:gridSpan w:val="2"/>
            <w:shd w:fill="D9EAD3"/>
            <w:vAlign w:val="center"/>
          </w:tcPr>
          <w:p>
            <w:r>
              <w:t>FR-005 | Implemented</w:t>
            </w:r>
            <w:r>
              <w:rPr>
                <w:b/>
                <w:sz w:val="16"/>
              </w:rPr>
            </w:r>
          </w:p>
        </w:tc>
      </w:tr>
      <w:tr>
        <w:tc>
          <w:tcPr>
            <w:tcW w:type="dxa" w:w="5233"/>
            <w:vAlign w:val="center"/>
          </w:tcPr>
          <w:p>
            <w:r/>
            <w:r>
              <w:rPr>
                <w:b/>
                <w:sz w:val="16"/>
              </w:rPr>
              <w:t>Requirement</w:t>
            </w:r>
          </w:p>
        </w:tc>
        <w:tc>
          <w:tcPr>
            <w:tcW w:type="dxa" w:w="5233"/>
            <w:vAlign w:val="center"/>
          </w:tcPr>
          <w:p>
            <w:r>
              <w:t>The pupil reads released latest result versions, report-card PDF data and the cumulative session view. Held and unpublished results disclose no figures or hold reason.</w:t>
            </w:r>
            <w:r>
              <w:rPr>
                <w:b w:val="0"/>
                <w:sz w:val="16"/>
              </w:rPr>
            </w:r>
          </w:p>
        </w:tc>
      </w:tr>
      <w:tr>
        <w:tc>
          <w:tcPr>
            <w:tcW w:type="dxa" w:w="5233"/>
            <w:vAlign w:val="center"/>
          </w:tcPr>
          <w:p>
            <w:r/>
            <w:r>
              <w:rPr>
                <w:b/>
                <w:sz w:val="16"/>
              </w:rPr>
              <w:t>Current evidence</w:t>
            </w:r>
          </w:p>
        </w:tc>
        <w:tc>
          <w:tcPr>
            <w:tcW w:type="dxa" w:w="5233"/>
            <w:vAlign w:val="center"/>
          </w:tcPr>
          <w:p>
            <w:r>
              <w:t>Gradebook supplies released cards, subject teacher snapshots, optional class figures, annual grades and promotion outcome from Student Management.</w:t>
            </w:r>
            <w:r>
              <w:rPr>
                <w:b w:val="0"/>
                <w:sz w:val="16"/>
              </w:rPr>
            </w:r>
          </w:p>
        </w:tc>
      </w:tr>
      <w:tr>
        <w:tc>
          <w:tcPr>
            <w:tcW w:type="dxa" w:w="5233"/>
            <w:vAlign w:val="center"/>
          </w:tcPr>
          <w:p>
            <w:r/>
            <w:r>
              <w:rPr>
                <w:b/>
                <w:sz w:val="16"/>
              </w:rPr>
              <w:t>Acceptance</w:t>
            </w:r>
          </w:p>
        </w:tc>
        <w:tc>
          <w:tcPr>
            <w:tcW w:type="dxa" w:w="5233"/>
            <w:vAlign w:val="center"/>
          </w:tcPr>
          <w:p>
            <w:r>
              <w:t>The portal distinguishes not published, held and released without leaking result content.</w:t>
            </w:r>
            <w:r>
              <w:rPr>
                <w:b w:val="0"/>
                <w:sz w:val="16"/>
              </w:rPr>
            </w:r>
          </w:p>
        </w:tc>
      </w:tr>
      <w:tr>
        <w:tc>
          <w:tcPr>
            <w:tcW w:type="dxa" w:w="5233"/>
            <w:vAlign w:val="center"/>
          </w:tcPr>
          <w:p>
            <w:r/>
            <w:r>
              <w:rPr>
                <w:b/>
                <w:sz w:val="16"/>
              </w:rPr>
              <w:t>Current limit</w:t>
            </w:r>
          </w:p>
        </w:tc>
        <w:tc>
          <w:tcPr>
            <w:tcW w:type="dxa" w:w="5233"/>
            <w:vAlign w:val="center"/>
          </w:tcPr>
          <w:p>
            <w:r>
              <w:t>None.</w:t>
            </w:r>
            <w:r>
              <w:rPr>
                <w:b w:val="0"/>
                <w:sz w:val="16"/>
              </w:rPr>
            </w:r>
          </w:p>
        </w:tc>
      </w:tr>
    </w:tbl>
    <w:p/>
    <w:p>
      <w:pPr>
        <w:pStyle w:val="Heading2"/>
      </w:pPr>
      <w:r>
        <w:t>FR-006 Fees, payments and receipts</w:t>
      </w:r>
    </w:p>
    <w:tbl>
      <w:tblPr>
        <w:tblW w:type="auto" w:w="0"/>
        <w:tblLook w:firstColumn="1" w:firstRow="1" w:lastColumn="0" w:lastRow="0" w:noHBand="0" w:noVBand="1" w:val="04A0"/>
      </w:tblPr>
      <w:tblGrid>
        <w:gridCol w:w="5233"/>
        <w:gridCol w:w="5233"/>
      </w:tblGrid>
      <w:tr>
        <w:tc>
          <w:tcPr>
            <w:tcW w:type="dxa" w:w="10466"/>
            <w:gridSpan w:val="2"/>
            <w:shd w:fill="D9EAD3"/>
            <w:vAlign w:val="center"/>
          </w:tcPr>
          <w:p>
            <w:r>
              <w:t>FR-006 | Implemented</w:t>
            </w:r>
            <w:r>
              <w:rPr>
                <w:b/>
                <w:sz w:val="16"/>
              </w:rPr>
            </w:r>
          </w:p>
        </w:tc>
      </w:tr>
      <w:tr>
        <w:tc>
          <w:tcPr>
            <w:tcW w:type="dxa" w:w="5233"/>
            <w:vAlign w:val="center"/>
          </w:tcPr>
          <w:p>
            <w:r/>
            <w:r>
              <w:rPr>
                <w:b/>
                <w:sz w:val="16"/>
              </w:rPr>
              <w:t>Requirement</w:t>
            </w:r>
          </w:p>
        </w:tc>
        <w:tc>
          <w:tcPr>
            <w:tcW w:type="dxa" w:w="5233"/>
            <w:vAlign w:val="center"/>
          </w:tcPr>
          <w:p>
            <w:r>
              <w:t>The pupil reads bills, payment history and receipts, starts an online payment, downloads receipt JSON or PDF and returns from card checkout to /student/fees/paid. Fee status includes invoice lines and debit notes; a debit note is displayed as a charge and cannot start a card payment.</w:t>
            </w:r>
            <w:r>
              <w:rPr>
                <w:b w:val="0"/>
                <w:sz w:val="16"/>
              </w:rPr>
            </w:r>
          </w:p>
        </w:tc>
      </w:tr>
      <w:tr>
        <w:tc>
          <w:tcPr>
            <w:tcW w:type="dxa" w:w="5233"/>
            <w:vAlign w:val="center"/>
          </w:tcPr>
          <w:p>
            <w:r/>
            <w:r>
              <w:rPr>
                <w:b/>
                <w:sz w:val="16"/>
              </w:rPr>
              <w:t>Current evidence</w:t>
            </w:r>
          </w:p>
        </w:tc>
        <w:tc>
          <w:tcPr>
            <w:tcW w:type="dxa" w:w="5233"/>
            <w:vAlign w:val="center"/>
          </w:tcPr>
          <w:p>
            <w:r>
              <w:t>The FAL StudentPaymentPort reads and starts; it never books. fees.student_payment_enabled and fees.min_part_payment govern checkout.</w:t>
            </w:r>
            <w:r>
              <w:rPr>
                <w:b w:val="0"/>
                <w:sz w:val="16"/>
              </w:rPr>
            </w:r>
          </w:p>
        </w:tc>
      </w:tr>
      <w:tr>
        <w:tc>
          <w:tcPr>
            <w:tcW w:type="dxa" w:w="5233"/>
            <w:vAlign w:val="center"/>
          </w:tcPr>
          <w:p>
            <w:r/>
            <w:r>
              <w:rPr>
                <w:b/>
                <w:sz w:val="16"/>
              </w:rPr>
              <w:t>Acceptance</w:t>
            </w:r>
          </w:p>
        </w:tc>
        <w:tc>
          <w:tcPr>
            <w:tcW w:type="dxa" w:w="5233"/>
            <w:vAlign w:val="center"/>
          </w:tcPr>
          <w:p>
            <w:r>
              <w:t>A disabled route, invalid amount, unreadable invoice or wrong pupil is refused before provider work. Payment history labels transfer account, online or school source. Debit notes appear in the fee timeline without a payment action.</w:t>
            </w:r>
            <w:r>
              <w:rPr>
                <w:b w:val="0"/>
                <w:sz w:val="16"/>
              </w:rPr>
            </w:r>
          </w:p>
        </w:tc>
      </w:tr>
      <w:tr>
        <w:tc>
          <w:tcPr>
            <w:tcW w:type="dxa" w:w="5233"/>
            <w:vAlign w:val="center"/>
          </w:tcPr>
          <w:p>
            <w:r/>
            <w:r>
              <w:rPr>
                <w:b/>
                <w:sz w:val="16"/>
              </w:rPr>
              <w:t>Current limit</w:t>
            </w:r>
          </w:p>
        </w:tc>
        <w:tc>
          <w:tcPr>
            <w:tcW w:type="dxa" w:w="5233"/>
            <w:vAlign w:val="center"/>
          </w:tcPr>
          <w:p>
            <w:r>
              <w:t>None.</w:t>
            </w:r>
            <w:r>
              <w:rPr>
                <w:b w:val="0"/>
                <w:sz w:val="16"/>
              </w:rPr>
            </w:r>
          </w:p>
        </w:tc>
      </w:tr>
    </w:tbl>
    <w:p/>
    <w:p>
      <w:pPr>
        <w:pStyle w:val="Heading2"/>
      </w:pPr>
      <w:r>
        <w:t>FR-007 Notices and notifications</w:t>
      </w:r>
    </w:p>
    <w:tbl>
      <w:tblPr>
        <w:tblW w:type="auto" w:w="0"/>
        <w:tblLook w:firstColumn="1" w:firstRow="1" w:lastColumn="0" w:lastRow="0" w:noHBand="0" w:noVBand="1" w:val="04A0"/>
      </w:tblPr>
      <w:tblGrid>
        <w:gridCol w:w="5233"/>
        <w:gridCol w:w="5233"/>
      </w:tblGrid>
      <w:tr>
        <w:tc>
          <w:tcPr>
            <w:tcW w:type="dxa" w:w="10466"/>
            <w:gridSpan w:val="2"/>
            <w:shd w:fill="D9EAD3"/>
            <w:vAlign w:val="center"/>
          </w:tcPr>
          <w:p>
            <w:r>
              <w:t>FR-007 | Implemented</w:t>
            </w:r>
            <w:r>
              <w:rPr>
                <w:b/>
                <w:sz w:val="16"/>
              </w:rPr>
            </w:r>
          </w:p>
        </w:tc>
      </w:tr>
      <w:tr>
        <w:tc>
          <w:tcPr>
            <w:tcW w:type="dxa" w:w="5233"/>
            <w:vAlign w:val="center"/>
          </w:tcPr>
          <w:p>
            <w:r/>
            <w:r>
              <w:rPr>
                <w:b/>
                <w:sz w:val="16"/>
              </w:rPr>
              <w:t>Requirement</w:t>
            </w:r>
          </w:p>
        </w:tc>
        <w:tc>
          <w:tcPr>
            <w:tcW w:type="dxa" w:w="5233"/>
            <w:vAlign w:val="center"/>
          </w:tcPr>
          <w:p>
            <w:r>
              <w:t>The pupil reads school and class notices, notification history and push delivery for notices, results and confirmed payments.</w:t>
            </w:r>
            <w:r>
              <w:rPr>
                <w:b w:val="0"/>
                <w:sz w:val="16"/>
              </w:rPr>
            </w:r>
          </w:p>
        </w:tc>
      </w:tr>
      <w:tr>
        <w:tc>
          <w:tcPr>
            <w:tcW w:type="dxa" w:w="5233"/>
            <w:vAlign w:val="center"/>
          </w:tcPr>
          <w:p>
            <w:r/>
            <w:r>
              <w:rPr>
                <w:b/>
                <w:sz w:val="16"/>
              </w:rPr>
              <w:t>Current evidence</w:t>
            </w:r>
          </w:p>
        </w:tc>
        <w:tc>
          <w:tcPr>
            <w:tcW w:type="dxa" w:w="5233"/>
            <w:vAlign w:val="center"/>
          </w:tcPr>
          <w:p>
            <w:r>
              <w:t>Notices resolve the pupil audience and keep read marks. Module 8 sends in-app, email where eligible, and subscribed-device push without marks or amounts.</w:t>
            </w:r>
            <w:r>
              <w:rPr>
                <w:b w:val="0"/>
                <w:sz w:val="16"/>
              </w:rPr>
            </w:r>
          </w:p>
        </w:tc>
      </w:tr>
      <w:tr>
        <w:tc>
          <w:tcPr>
            <w:tcW w:type="dxa" w:w="5233"/>
            <w:vAlign w:val="center"/>
          </w:tcPr>
          <w:p>
            <w:r/>
            <w:r>
              <w:rPr>
                <w:b/>
                <w:sz w:val="16"/>
              </w:rPr>
              <w:t>Acceptance</w:t>
            </w:r>
          </w:p>
        </w:tc>
        <w:tc>
          <w:tcPr>
            <w:tcW w:type="dxa" w:w="5233"/>
            <w:vAlign w:val="center"/>
          </w:tcPr>
          <w:p>
            <w:r>
              <w:t>A notice outside the pupil’s audience is absent. A shared device’s push names the recipient first.</w:t>
            </w:r>
            <w:r>
              <w:rPr>
                <w:b w:val="0"/>
                <w:sz w:val="16"/>
              </w:rPr>
            </w:r>
          </w:p>
        </w:tc>
      </w:tr>
      <w:tr>
        <w:tc>
          <w:tcPr>
            <w:tcW w:type="dxa" w:w="5233"/>
            <w:vAlign w:val="center"/>
          </w:tcPr>
          <w:p>
            <w:r/>
            <w:r>
              <w:rPr>
                <w:b/>
                <w:sz w:val="16"/>
              </w:rPr>
              <w:t>Current limit</w:t>
            </w:r>
          </w:p>
        </w:tc>
        <w:tc>
          <w:tcPr>
            <w:tcW w:type="dxa" w:w="5233"/>
            <w:vAlign w:val="center"/>
          </w:tcPr>
          <w:p>
            <w:r>
              <w:t>Messages are not built.</w:t>
            </w:r>
            <w:r>
              <w:rPr>
                <w:b w:val="0"/>
                <w:sz w:val="16"/>
              </w:rPr>
            </w:r>
          </w:p>
        </w:tc>
      </w:tr>
    </w:tbl>
    <w:p/>
    <w:p>
      <w:pPr>
        <w:pStyle w:val="Heading2"/>
      </w:pPr>
      <w:r>
        <w:t>FR-008 Device sessions and installable app</w:t>
      </w:r>
    </w:p>
    <w:tbl>
      <w:tblPr>
        <w:tblW w:type="auto" w:w="0"/>
        <w:tblLook w:firstColumn="1" w:firstRow="1" w:lastColumn="0" w:lastRow="0" w:noHBand="0" w:noVBand="1" w:val="04A0"/>
      </w:tblPr>
      <w:tblGrid>
        <w:gridCol w:w="5233"/>
        <w:gridCol w:w="5233"/>
      </w:tblGrid>
      <w:tr>
        <w:tc>
          <w:tcPr>
            <w:tcW w:type="dxa" w:w="10466"/>
            <w:gridSpan w:val="2"/>
            <w:shd w:fill="D9EAD3"/>
            <w:vAlign w:val="center"/>
          </w:tcPr>
          <w:p>
            <w:r>
              <w:t>FR-008 | Implemented</w:t>
            </w:r>
            <w:r>
              <w:rPr>
                <w:b/>
                <w:sz w:val="16"/>
              </w:rPr>
            </w:r>
          </w:p>
        </w:tc>
      </w:tr>
      <w:tr>
        <w:tc>
          <w:tcPr>
            <w:tcW w:type="dxa" w:w="5233"/>
            <w:vAlign w:val="center"/>
          </w:tcPr>
          <w:p>
            <w:r/>
            <w:r>
              <w:rPr>
                <w:b/>
                <w:sz w:val="16"/>
              </w:rPr>
              <w:t>Requirement</w:t>
            </w:r>
          </w:p>
        </w:tc>
        <w:tc>
          <w:tcPr>
            <w:tcW w:type="dxa" w:w="5233"/>
            <w:vAlign w:val="center"/>
          </w:tcPr>
          <w:p>
            <w:r>
              <w:t>Eligible pupils receive a long-lived device session, one cookie per account on a shared device, plus refresh, sign-out and hand-over. The app manifest uses the school name and crest, or XVS artwork where none exists.</w:t>
            </w:r>
            <w:r>
              <w:rPr>
                <w:b w:val="0"/>
                <w:sz w:val="16"/>
              </w:rPr>
            </w:r>
          </w:p>
        </w:tc>
      </w:tr>
      <w:tr>
        <w:tc>
          <w:tcPr>
            <w:tcW w:type="dxa" w:w="5233"/>
            <w:vAlign w:val="center"/>
          </w:tcPr>
          <w:p>
            <w:r/>
            <w:r>
              <w:rPr>
                <w:b/>
                <w:sz w:val="16"/>
              </w:rPr>
              <w:t>Current evidence</w:t>
            </w:r>
          </w:p>
        </w:tc>
        <w:tc>
          <w:tcPr>
            <w:tcW w:type="dxa" w:w="5233"/>
            <w:vAlign w:val="center"/>
          </w:tcPr>
          <w:p>
            <w:r>
              <w:t>students.portal.session_days sets 1 to 90 days, default 30. Public manifest and icons reveal no more than sign-in branding.</w:t>
            </w:r>
            <w:r>
              <w:rPr>
                <w:b w:val="0"/>
                <w:sz w:val="16"/>
              </w:rPr>
            </w:r>
          </w:p>
        </w:tc>
      </w:tr>
      <w:tr>
        <w:tc>
          <w:tcPr>
            <w:tcW w:type="dxa" w:w="5233"/>
            <w:vAlign w:val="center"/>
          </w:tcPr>
          <w:p>
            <w:r/>
            <w:r>
              <w:rPr>
                <w:b/>
                <w:sz w:val="16"/>
              </w:rPr>
              <w:t>Acceptance</w:t>
            </w:r>
          </w:p>
        </w:tc>
        <w:tc>
          <w:tcPr>
            <w:tcW w:type="dxa" w:w="5233"/>
            <w:vAlign w:val="center"/>
          </w:tcPr>
          <w:p>
            <w:r>
              <w:t>Signing out ends one account on one device; force logout, suspension, deactivation and password events end all its device sessions and push subscriptions.</w:t>
            </w:r>
            <w:r>
              <w:rPr>
                <w:b w:val="0"/>
                <w:sz w:val="16"/>
              </w:rPr>
            </w:r>
          </w:p>
        </w:tc>
      </w:tr>
      <w:tr>
        <w:tc>
          <w:tcPr>
            <w:tcW w:type="dxa" w:w="5233"/>
            <w:vAlign w:val="center"/>
          </w:tcPr>
          <w:p>
            <w:r/>
            <w:r>
              <w:rPr>
                <w:b/>
                <w:sz w:val="16"/>
              </w:rPr>
              <w:t>Current limit</w:t>
            </w:r>
          </w:p>
        </w:tc>
        <w:tc>
          <w:tcPr>
            <w:tcW w:type="dxa" w:w="5233"/>
            <w:vAlign w:val="center"/>
          </w:tcPr>
          <w:p>
            <w:r>
              <w:t>No frontend or deployment claim is inferred.</w:t>
            </w:r>
            <w:r>
              <w:rPr>
                <w:b w:val="0"/>
                <w:sz w:val="16"/>
              </w:rPr>
            </w:r>
          </w:p>
        </w:tc>
      </w:tr>
    </w:tbl>
    <w:p/>
    <w:p>
      <w:pPr>
        <w:pStyle w:val="Heading2"/>
      </w:pPr>
      <w:r>
        <w:t>FR-009 Transfer accounts and deposits</w:t>
      </w:r>
    </w:p>
    <w:tbl>
      <w:tblPr>
        <w:tblW w:type="auto" w:w="0"/>
        <w:tblLook w:firstColumn="1" w:firstRow="1" w:lastColumn="0" w:lastRow="0" w:noHBand="0" w:noVBand="1" w:val="04A0"/>
      </w:tblPr>
      <w:tblGrid>
        <w:gridCol w:w="5233"/>
        <w:gridCol w:w="5233"/>
      </w:tblGrid>
      <w:tr>
        <w:tc>
          <w:tcPr>
            <w:tcW w:type="dxa" w:w="10466"/>
            <w:gridSpan w:val="2"/>
            <w:shd w:fill="D9EAD3"/>
            <w:vAlign w:val="center"/>
          </w:tcPr>
          <w:p>
            <w:r>
              <w:t>FR-009 | Implemented</w:t>
            </w:r>
            <w:r>
              <w:rPr>
                <w:b/>
                <w:sz w:val="16"/>
              </w:rPr>
            </w:r>
          </w:p>
        </w:tc>
      </w:tr>
      <w:tr>
        <w:tc>
          <w:tcPr>
            <w:tcW w:type="dxa" w:w="5233"/>
            <w:vAlign w:val="center"/>
          </w:tcPr>
          <w:p>
            <w:r/>
            <w:r>
              <w:rPr>
                <w:b/>
                <w:sz w:val="16"/>
              </w:rPr>
              <w:t>Requirement</w:t>
            </w:r>
          </w:p>
        </w:tc>
        <w:tc>
          <w:tcPr>
            <w:tcW w:type="dxa" w:w="5233"/>
            <w:vAlign w:val="center"/>
          </w:tcPr>
          <w:p>
            <w:r>
              <w:t>The pupil reads or requests one permanent virtual account and sees deposits from the moment the provider reports them. First bill posting also attempts issue.</w:t>
            </w:r>
            <w:r>
              <w:rPr>
                <w:b w:val="0"/>
                <w:sz w:val="16"/>
              </w:rPr>
            </w:r>
          </w:p>
        </w:tc>
      </w:tr>
      <w:tr>
        <w:tc>
          <w:tcPr>
            <w:tcW w:type="dxa" w:w="5233"/>
            <w:vAlign w:val="center"/>
          </w:tcPr>
          <w:p>
            <w:r/>
            <w:r>
              <w:rPr>
                <w:b/>
                <w:sz w:val="16"/>
              </w:rPr>
              <w:t>Current evidence</w:t>
            </w:r>
          </w:p>
        </w:tc>
        <w:tc>
          <w:tcPr>
            <w:tcW w:type="dxa" w:w="5233"/>
            <w:vAlign w:val="center"/>
          </w:tcPr>
          <w:p>
            <w:r>
              <w:t>StudentPaymentPort contract 1.1.9 exposes transfer_account, open_transfer_account, transfer_deposits and payment-history source.</w:t>
            </w:r>
            <w:r>
              <w:rPr>
                <w:b w:val="0"/>
                <w:sz w:val="16"/>
              </w:rPr>
            </w:r>
          </w:p>
        </w:tc>
      </w:tr>
      <w:tr>
        <w:tc>
          <w:tcPr>
            <w:tcW w:type="dxa" w:w="5233"/>
            <w:vAlign w:val="center"/>
          </w:tcPr>
          <w:p>
            <w:r/>
            <w:r>
              <w:rPr>
                <w:b/>
                <w:sz w:val="16"/>
              </w:rPr>
              <w:t>Acceptance</w:t>
            </w:r>
          </w:p>
        </w:tc>
        <w:tc>
          <w:tcPr>
            <w:tcW w:type="dxa" w:w="5233"/>
            <w:vAlign w:val="center"/>
          </w:tcPr>
          <w:p>
            <w:r>
              <w:t>Transfers have no minimum and are never refused. Auto-apply settles open bills when enabled; otherwise money remains credit. No half-created account is shown.</w:t>
            </w:r>
            <w:r>
              <w:rPr>
                <w:b w:val="0"/>
                <w:sz w:val="16"/>
              </w:rPr>
            </w:r>
          </w:p>
        </w:tc>
      </w:tr>
      <w:tr>
        <w:tc>
          <w:tcPr>
            <w:tcW w:type="dxa" w:w="5233"/>
            <w:vAlign w:val="center"/>
          </w:tcPr>
          <w:p>
            <w:r/>
            <w:r>
              <w:rPr>
                <w:b/>
                <w:sz w:val="16"/>
              </w:rPr>
              <w:t>Current limit</w:t>
            </w:r>
          </w:p>
        </w:tc>
        <w:tc>
          <w:tcPr>
            <w:tcW w:type="dxa" w:w="5233"/>
            <w:vAlign w:val="center"/>
          </w:tcPr>
          <w:p>
            <w:r>
              <w:t>Provider and branch setup can make the route UNAVAILABLE.</w:t>
            </w:r>
            <w:r>
              <w:rPr>
                <w:b w:val="0"/>
                <w:sz w:val="16"/>
              </w:rPr>
            </w:r>
          </w:p>
        </w:tc>
      </w:tr>
    </w:tbl>
    <w:p/>
    <w:p>
      <w:pPr>
        <w:pStyle w:val="Heading2"/>
      </w:pPr>
      <w:r>
        <w:t>FR-010 Ownership, privacy and unavailable states</w:t>
      </w:r>
    </w:p>
    <w:tbl>
      <w:tblPr>
        <w:tblW w:type="auto" w:w="0"/>
        <w:tblLook w:firstColumn="1" w:firstRow="1" w:lastColumn="0" w:lastRow="0" w:noHBand="0" w:noVBand="1" w:val="04A0"/>
      </w:tblPr>
      <w:tblGrid>
        <w:gridCol w:w="5233"/>
        <w:gridCol w:w="5233"/>
      </w:tblGrid>
      <w:tr>
        <w:tc>
          <w:tcPr>
            <w:tcW w:type="dxa" w:w="10466"/>
            <w:gridSpan w:val="2"/>
            <w:shd w:fill="FFF2CC"/>
            <w:vAlign w:val="center"/>
          </w:tcPr>
          <w:p>
            <w:r>
              <w:t>FR-010 | Implemented</w:t>
            </w:r>
            <w:r>
              <w:rPr>
                <w:b/>
                <w:sz w:val="16"/>
              </w:rPr>
            </w:r>
          </w:p>
        </w:tc>
      </w:tr>
      <w:tr>
        <w:tc>
          <w:tcPr>
            <w:tcW w:type="dxa" w:w="5233"/>
            <w:vAlign w:val="center"/>
          </w:tcPr>
          <w:p>
            <w:r/>
            <w:r>
              <w:rPr>
                <w:b/>
                <w:sz w:val="16"/>
              </w:rPr>
              <w:t>Requirement</w:t>
            </w:r>
          </w:p>
        </w:tc>
        <w:tc>
          <w:tcPr>
            <w:tcW w:type="dxa" w:w="5233"/>
            <w:vAlign w:val="center"/>
          </w:tcPr>
          <w:p>
            <w:r>
              <w:t>Every response is scoped to the signed-in pupil and applies the owning module’s release, branch and Field Access rules. A missing dependency becomes an unavailable block, not a fabricated zero.</w:t>
            </w:r>
            <w:r>
              <w:rPr>
                <w:b w:val="0"/>
                <w:sz w:val="16"/>
              </w:rPr>
            </w:r>
          </w:p>
        </w:tc>
      </w:tr>
      <w:tr>
        <w:tc>
          <w:tcPr>
            <w:tcW w:type="dxa" w:w="5233"/>
            <w:vAlign w:val="center"/>
          </w:tcPr>
          <w:p>
            <w:r/>
            <w:r>
              <w:rPr>
                <w:b/>
                <w:sz w:val="16"/>
              </w:rPr>
              <w:t>Current evidence</w:t>
            </w:r>
          </w:p>
        </w:tc>
        <w:tc>
          <w:tcPr>
            <w:tcW w:type="dxa" w:w="5233"/>
            <w:vAlign w:val="center"/>
          </w:tcPr>
          <w:p>
            <w:r>
              <w:t>The portal names no pupil identifier in its route and composes through typed school-side services and the FAL.</w:t>
            </w:r>
            <w:r>
              <w:rPr>
                <w:b w:val="0"/>
                <w:sz w:val="16"/>
              </w:rPr>
            </w:r>
          </w:p>
        </w:tc>
      </w:tr>
      <w:tr>
        <w:tc>
          <w:tcPr>
            <w:tcW w:type="dxa" w:w="5233"/>
            <w:vAlign w:val="center"/>
          </w:tcPr>
          <w:p>
            <w:r/>
            <w:r>
              <w:rPr>
                <w:b/>
                <w:sz w:val="16"/>
              </w:rPr>
              <w:t>Acceptance</w:t>
            </w:r>
          </w:p>
        </w:tc>
        <w:tc>
          <w:tcPr>
            <w:tcW w:type="dxa" w:w="5233"/>
            <w:vAlign w:val="center"/>
          </w:tcPr>
          <w:p>
            <w:r>
              <w:t>The test cast is identified by role and admission number because seeded names may change. No portal path grants a role or books money.</w:t>
            </w:r>
            <w:r>
              <w:rPr>
                <w:b w:val="0"/>
                <w:sz w:val="16"/>
              </w:rPr>
            </w:r>
          </w:p>
        </w:tc>
      </w:tr>
      <w:tr>
        <w:tc>
          <w:tcPr>
            <w:tcW w:type="dxa" w:w="5233"/>
            <w:vAlign w:val="center"/>
          </w:tcPr>
          <w:p>
            <w:r/>
            <w:r>
              <w:rPr>
                <w:b/>
                <w:sz w:val="16"/>
              </w:rPr>
              <w:t>Current limit</w:t>
            </w:r>
          </w:p>
        </w:tc>
        <w:tc>
          <w:tcPr>
            <w:tcW w:type="dxa" w:w="5233"/>
            <w:vAlign w:val="center"/>
          </w:tcPr>
          <w:p>
            <w:r>
              <w:t>Assignments remain unowned and unbuilt.</w:t>
            </w:r>
            <w:r>
              <w:rPr>
                <w:b w:val="0"/>
                <w:sz w:val="16"/>
              </w:rPr>
            </w:r>
          </w:p>
        </w:tc>
      </w:tr>
    </w:tbl>
    <w:p/>
    <w:p>
      <w:pPr>
        <w:pStyle w:val="Heading2"/>
      </w:pPr>
      <w:r>
        <w:t>FR-011 Converse with Teachers and the School Office</w:t>
      </w:r>
    </w:p>
    <w:tbl>
      <w:tblPr>
        <w:tblW w:type="auto" w:w="0"/>
        <w:tblLook w:firstColumn="1" w:firstRow="1" w:lastColumn="0" w:lastRow="0" w:noHBand="0" w:noVBand="1" w:val="04A0"/>
      </w:tblPr>
      <w:tblGrid>
        <w:gridCol w:w="5233"/>
        <w:gridCol w:w="5233"/>
      </w:tblGrid>
      <w:tr>
        <w:tc>
          <w:tcPr>
            <w:tcW w:type="dxa" w:w="10466"/>
            <w:gridSpan w:val="2"/>
            <w:shd w:fill="FFF2CC"/>
            <w:vAlign w:val="center"/>
          </w:tcPr>
          <w:p>
            <w:r>
              <w:t>FR-011 | Implemented</w:t>
            </w:r>
            <w:r>
              <w:rPr>
                <w:b/>
                <w:sz w:val="16"/>
              </w:rPr>
            </w:r>
          </w:p>
        </w:tc>
      </w:tr>
      <w:tr>
        <w:tc>
          <w:tcPr>
            <w:tcW w:type="dxa" w:w="5233"/>
            <w:vAlign w:val="center"/>
          </w:tcPr>
          <w:p>
            <w:r>
              <w:t>Requirement</w:t>
            </w:r>
            <w:r>
              <w:rPr>
                <w:b/>
                <w:sz w:val="16"/>
              </w:rPr>
            </w:r>
          </w:p>
        </w:tc>
        <w:tc>
          <w:tcPr>
            <w:tcW w:type="dxa" w:w="5233"/>
            <w:vAlign w:val="center"/>
          </w:tcPr>
          <w:p>
            <w:r>
              <w:t>A pupil can exchange text messages with their own teachers and the school office without gaining access to another pupil or a staff inbox.</w:t>
            </w:r>
            <w:r>
              <w:rPr>
                <w:b w:val="0"/>
                <w:sz w:val="16"/>
              </w:rPr>
            </w:r>
          </w:p>
        </w:tc>
      </w:tr>
      <w:tr>
        <w:tc>
          <w:tcPr>
            <w:tcW w:type="dxa" w:w="5233"/>
            <w:vAlign w:val="center"/>
          </w:tcPr>
          <w:p>
            <w:r>
              <w:t>Current evidence</w:t>
            </w:r>
            <w:r>
              <w:rPr>
                <w:b/>
                <w:sz w:val="16"/>
              </w:rPr>
            </w:r>
          </w:p>
        </w:tc>
        <w:tc>
          <w:tcPr>
            <w:tcW w:type="dxa" w:w="5233"/>
            <w:vAlign w:val="center"/>
          </w:tcPr>
          <w:p>
            <w:r>
              <w:t>Module 32 mounts the pupil surface at /v1/portal/student/messages/ and derives the pupil and branch from the signed-in account. The primary guardian has the confirmed read-only view; staff welfare inspection is separately keyed and audited.</w:t>
            </w:r>
            <w:r>
              <w:rPr>
                <w:b w:val="0"/>
                <w:sz w:val="16"/>
              </w:rPr>
            </w:r>
          </w:p>
        </w:tc>
      </w:tr>
      <w:tr>
        <w:tc>
          <w:tcPr>
            <w:tcW w:type="dxa" w:w="5233"/>
            <w:vAlign w:val="center"/>
          </w:tcPr>
          <w:p>
            <w:r>
              <w:t>Acceptance</w:t>
            </w:r>
            <w:r>
              <w:rPr>
                <w:b/>
                <w:sz w:val="16"/>
              </w:rPr>
            </w:r>
          </w:p>
        </w:tc>
        <w:tc>
          <w:tcPr>
            <w:tcW w:type="dxa" w:w="5233"/>
            <w:vAlign w:val="center"/>
          </w:tcPr>
          <w:p>
            <w:r>
              <w:t>The pupil can list, start, read, reply, mark read, and obtain an unread count for only their own conversations. Revocation and roll status take effect on the next request.</w:t>
            </w:r>
            <w:r>
              <w:rPr>
                <w:b w:val="0"/>
                <w:sz w:val="16"/>
              </w:rPr>
            </w:r>
          </w:p>
        </w:tc>
      </w:tr>
      <w:tr>
        <w:tc>
          <w:tcPr>
            <w:tcW w:type="dxa" w:w="5233"/>
            <w:vAlign w:val="center"/>
          </w:tcPr>
          <w:p>
            <w:r>
              <w:t>Current limit</w:t>
            </w:r>
            <w:r>
              <w:rPr>
                <w:b/>
                <w:sz w:val="16"/>
              </w:rPr>
            </w:r>
          </w:p>
        </w:tc>
        <w:tc>
          <w:tcPr>
            <w:tcW w:type="dxa" w:w="5233"/>
            <w:vAlign w:val="center"/>
          </w:tcPr>
          <w:p>
            <w:r>
              <w:t>The student home response does not yet include the planned unread-messages block. Attachments and Assignments are not implemented.</w:t>
            </w:r>
            <w:r>
              <w:rPr>
                <w:b w:val="0"/>
                <w:sz w:val="16"/>
              </w:rPr>
            </w:r>
          </w:p>
        </w:tc>
      </w:tr>
    </w:tbl>
    <w:p>
      <w:pPr>
        <w:pStyle w:val="Heading1"/>
      </w:pPr>
      <w:r>
        <w:t>5. Workflows and Lifecycle Rules</w:t>
      </w:r>
    </w:p>
    <w:p>
      <w:r>
        <w:t>Account: invited, active or revoked; the pupil holds no role.</w:t>
      </w:r>
    </w:p>
    <w:p>
      <w:pPr>
        <w:spacing w:after="60"/>
      </w:pPr>
      <w:r>
        <w:t>Device session: issued, refreshed, handed over, signed out or ended by account action.</w:t>
      </w:r>
    </w:p>
    <w:p>
      <w:r>
        <w:t>Result: not published, held or released; only released latest versions carry figures.</w:t>
      </w:r>
    </w:p>
    <w:p>
      <w:pPr>
        <w:spacing w:after="60"/>
      </w:pPr>
      <w:r>
        <w:t>Payment: started, pending, confirmed or failed; booking stays in Payments and Finance.</w:t>
      </w:r>
    </w:p>
    <w:p>
      <w:r/>
    </w:p>
    <w:p>
      <w:pPr>
        <w:spacing w:after="60"/>
      </w:pPr>
      <w:r/>
    </w:p>
    <w:p>
      <w:r/>
    </w:p>
    <w:p>
      <w:pPr>
        <w:spacing w:after="60"/>
      </w:pPr>
      <w:r/>
    </w:p>
    <w:p>
      <w:pPr>
        <w:pStyle w:val="Heading1"/>
      </w:pPr>
      <w:r>
        <w:t>6. Data Model and Relationships</w:t>
      </w:r>
    </w:p>
    <w:tbl>
      <w:tblPr>
        <w:tblW w:type="auto" w:w="0"/>
        <w:tblLook w:firstColumn="1" w:firstRow="1" w:lastColumn="0" w:lastRow="0" w:noHBand="0" w:noVBand="1" w:val="04A0"/>
      </w:tblPr>
      <w:tblGrid>
        <w:gridCol w:w="5233"/>
        <w:gridCol w:w="5233"/>
      </w:tblGrid>
      <w:tr>
        <w:trPr>
          <w:tblHeader w:val="true"/>
        </w:trPr>
        <w:tc>
          <w:tcPr>
            <w:tcW w:type="dxa" w:w="5233"/>
            <w:shd w:fill="1F4E78"/>
            <w:vAlign w:val="center"/>
          </w:tcPr>
          <w:p>
            <w:r/>
            <w:r>
              <w:rPr>
                <w:b/>
                <w:color w:val="FFFFFF"/>
                <w:sz w:val="16"/>
              </w:rPr>
              <w:t>Record</w:t>
            </w:r>
          </w:p>
        </w:tc>
        <w:tc>
          <w:tcPr>
            <w:tcW w:type="dxa" w:w="5233"/>
            <w:shd w:fill="1F4E78"/>
            <w:vAlign w:val="center"/>
          </w:tcPr>
          <w:p>
            <w:r/>
            <w:r>
              <w:rPr>
                <w:b/>
                <w:color w:val="FFFFFF"/>
                <w:sz w:val="16"/>
              </w:rPr>
              <w:t>Purpose</w:t>
            </w:r>
          </w:p>
        </w:tc>
      </w:tr>
      <w:tr>
        <w:tc>
          <w:tcPr>
            <w:tcW w:type="dxa" w:w="5233"/>
            <w:vAlign w:val="center"/>
          </w:tcPr>
          <w:p>
            <w:r>
              <w:t>Student.user</w:t>
            </w:r>
            <w:r>
              <w:rPr>
                <w:b w:val="0"/>
                <w:sz w:val="16"/>
              </w:rPr>
            </w:r>
          </w:p>
        </w:tc>
        <w:tc>
          <w:tcPr>
            <w:tcW w:type="dxa" w:w="5233"/>
            <w:vAlign w:val="center"/>
          </w:tcPr>
          <w:p>
            <w:r>
              <w:t>One pupil account link</w:t>
            </w:r>
            <w:r>
              <w:rPr>
                <w:b w:val="0"/>
                <w:sz w:val="16"/>
              </w:rPr>
            </w:r>
          </w:p>
        </w:tc>
      </w:tr>
      <w:tr>
        <w:tc>
          <w:tcPr>
            <w:tcW w:type="dxa" w:w="5233"/>
            <w:vAlign w:val="center"/>
            <w:shd w:fill="EAF2F8"/>
          </w:tcPr>
          <w:p>
            <w:r>
              <w:t>Guardian and StudentGuardian</w:t>
            </w:r>
            <w:r>
              <w:rPr>
                <w:b w:val="0"/>
                <w:sz w:val="16"/>
              </w:rPr>
            </w:r>
          </w:p>
        </w:tc>
        <w:tc>
          <w:tcPr>
            <w:tcW w:type="dxa" w:w="5233"/>
            <w:vAlign w:val="center"/>
            <w:shd w:fill="EAF2F8"/>
          </w:tcPr>
          <w:p>
            <w:r>
              <w:t>Primary guardian and family relationships</w:t>
            </w:r>
            <w:r>
              <w:rPr>
                <w:b w:val="0"/>
                <w:sz w:val="16"/>
              </w:rPr>
            </w:r>
          </w:p>
        </w:tc>
      </w:tr>
      <w:tr>
        <w:tc>
          <w:tcPr>
            <w:tcW w:type="dxa" w:w="5233"/>
            <w:vAlign w:val="center"/>
          </w:tcPr>
          <w:p>
            <w:r>
              <w:t>Notice and NoticeRead</w:t>
            </w:r>
            <w:r>
              <w:rPr>
                <w:b w:val="0"/>
                <w:sz w:val="16"/>
              </w:rPr>
            </w:r>
          </w:p>
        </w:tc>
        <w:tc>
          <w:tcPr>
            <w:tcW w:type="dxa" w:w="5233"/>
            <w:vAlign w:val="center"/>
          </w:tcPr>
          <w:p>
            <w:r>
              <w:t>Audience content and pupil read evidence</w:t>
            </w:r>
            <w:r>
              <w:rPr>
                <w:b w:val="0"/>
                <w:sz w:val="16"/>
              </w:rPr>
            </w:r>
          </w:p>
        </w:tc>
      </w:tr>
      <w:tr>
        <w:tc>
          <w:tcPr>
            <w:tcW w:type="dxa" w:w="5233"/>
            <w:vAlign w:val="center"/>
            <w:shd w:fill="EAF2F8"/>
          </w:tcPr>
          <w:p>
            <w:r>
              <w:t>LoginSession and device cookie</w:t>
            </w:r>
            <w:r>
              <w:rPr>
                <w:b w:val="0"/>
                <w:sz w:val="16"/>
              </w:rPr>
            </w:r>
          </w:p>
        </w:tc>
        <w:tc>
          <w:tcPr>
            <w:tcW w:type="dxa" w:w="5233"/>
            <w:vAlign w:val="center"/>
            <w:shd w:fill="EAF2F8"/>
          </w:tcPr>
          <w:p>
            <w:r>
              <w:t>Long-lived per-account device session</w:t>
            </w:r>
            <w:r>
              <w:rPr>
                <w:b w:val="0"/>
                <w:sz w:val="16"/>
              </w:rPr>
            </w:r>
          </w:p>
        </w:tc>
      </w:tr>
      <w:tr>
        <w:tc>
          <w:tcPr>
            <w:tcW w:type="dxa" w:w="5233"/>
            <w:vAlign w:val="center"/>
          </w:tcPr>
          <w:p>
            <w:r>
              <w:t>StudentTermResult and report card</w:t>
            </w:r>
            <w:r>
              <w:rPr>
                <w:b w:val="0"/>
                <w:sz w:val="16"/>
              </w:rPr>
            </w:r>
          </w:p>
        </w:tc>
        <w:tc>
          <w:tcPr>
            <w:tcW w:type="dxa" w:w="5233"/>
            <w:vAlign w:val="center"/>
          </w:tcPr>
          <w:p>
            <w:r>
              <w:t>Released immutable result version</w:t>
            </w:r>
            <w:r>
              <w:rPr>
                <w:b w:val="0"/>
                <w:sz w:val="16"/>
              </w:rPr>
            </w:r>
          </w:p>
        </w:tc>
      </w:tr>
      <w:tr>
        <w:tc>
          <w:tcPr>
            <w:tcW w:type="dxa" w:w="5233"/>
            <w:vAlign w:val="center"/>
            <w:shd w:fill="EAF2F8"/>
          </w:tcPr>
          <w:p>
            <w:r>
              <w:t>Customer, invoice, receipt and collection</w:t>
            </w:r>
            <w:r>
              <w:rPr>
                <w:b w:val="0"/>
                <w:sz w:val="16"/>
              </w:rPr>
            </w:r>
          </w:p>
        </w:tc>
        <w:tc>
          <w:tcPr>
            <w:tcW w:type="dxa" w:w="5233"/>
            <w:vAlign w:val="center"/>
            <w:shd w:fill="EAF2F8"/>
          </w:tcPr>
          <w:p>
            <w:r>
              <w:t>Finance facts read through the FAL</w:t>
            </w:r>
            <w:r>
              <w:rPr>
                <w:b w:val="0"/>
                <w:sz w:val="16"/>
              </w:rPr>
            </w:r>
          </w:p>
        </w:tc>
      </w:tr>
      <w:tr>
        <w:tc>
          <w:tcPr>
            <w:tcW w:type="dxa" w:w="5233"/>
            <w:vAlign w:val="center"/>
          </w:tcPr>
          <w:p>
            <w:r>
              <w:t>VirtualAccount and deposit</w:t>
            </w:r>
            <w:r>
              <w:rPr>
                <w:b w:val="0"/>
                <w:sz w:val="16"/>
              </w:rPr>
            </w:r>
          </w:p>
        </w:tc>
        <w:tc>
          <w:tcPr>
            <w:tcW w:type="dxa" w:w="5233"/>
            <w:vAlign w:val="center"/>
          </w:tcPr>
          <w:p>
            <w:r>
              <w:t>Permanent account and incoming transfer evidence</w:t>
            </w:r>
            <w:r>
              <w:rPr>
                <w:b w:val="0"/>
                <w:sz w:val="16"/>
              </w:rPr>
            </w:r>
          </w:p>
        </w:tc>
      </w:tr>
    </w:tbl>
    <w:p/>
    <w:p>
      <w:pPr>
        <w:pStyle w:val="Heading1"/>
      </w:pPr>
      <w:r>
        <w:t>7. API and Validation Contracts</w:t>
      </w:r>
    </w:p>
    <w:tbl>
      <w:tblPr>
        <w:tblW w:type="auto" w:w="0"/>
        <w:tblLook w:firstColumn="1" w:firstRow="1" w:lastColumn="0" w:lastRow="0" w:noHBand="0" w:noVBand="1" w:val="04A0"/>
      </w:tblPr>
      <w:tblGrid>
        <w:gridCol w:w="5233"/>
        <w:gridCol w:w="5233"/>
      </w:tblGrid>
      <w:tr>
        <w:trPr>
          <w:tblHeader w:val="true"/>
        </w:trPr>
        <w:tc>
          <w:tcPr>
            <w:tcW w:type="dxa" w:w="5233"/>
            <w:shd w:fill="1F4E78"/>
            <w:vAlign w:val="center"/>
          </w:tcPr>
          <w:p>
            <w:r/>
            <w:r>
              <w:rPr>
                <w:b/>
                <w:color w:val="FFFFFF"/>
                <w:sz w:val="16"/>
              </w:rPr>
              <w:t>Surface</w:t>
            </w:r>
          </w:p>
        </w:tc>
        <w:tc>
          <w:tcPr>
            <w:tcW w:type="dxa" w:w="5233"/>
            <w:shd w:fill="1F4E78"/>
            <w:vAlign w:val="center"/>
          </w:tcPr>
          <w:p>
            <w:r/>
            <w:r>
              <w:rPr>
                <w:b/>
                <w:color w:val="FFFFFF"/>
                <w:sz w:val="16"/>
              </w:rPr>
              <w:t>Contract</w:t>
            </w:r>
          </w:p>
        </w:tc>
      </w:tr>
      <w:tr>
        <w:tc>
          <w:tcPr>
            <w:tcW w:type="dxa" w:w="5233"/>
            <w:vAlign w:val="center"/>
          </w:tcPr>
          <w:p>
            <w:r>
              <w:t>home</w:t>
            </w:r>
            <w:r>
              <w:rPr>
                <w:b w:val="0"/>
                <w:sz w:val="16"/>
              </w:rPr>
            </w:r>
          </w:p>
        </w:tc>
        <w:tc>
          <w:tcPr>
            <w:tcW w:type="dxa" w:w="5233"/>
            <w:vAlign w:val="center"/>
          </w:tcPr>
          <w:p>
            <w:r>
              <w:t>Independent dashboard blocks and school year</w:t>
            </w:r>
            <w:r>
              <w:rPr>
                <w:b w:val="0"/>
                <w:sz w:val="16"/>
              </w:rPr>
            </w:r>
          </w:p>
        </w:tc>
      </w:tr>
      <w:tr>
        <w:tc>
          <w:tcPr>
            <w:tcW w:type="dxa" w:w="5233"/>
            <w:vAlign w:val="center"/>
            <w:shd w:fill="EAF2F8"/>
          </w:tcPr>
          <w:p>
            <w:r>
              <w:t>profile and portal rules</w:t>
            </w:r>
            <w:r>
              <w:rPr>
                <w:b w:val="0"/>
                <w:sz w:val="16"/>
              </w:rPr>
            </w:r>
          </w:p>
        </w:tc>
        <w:tc>
          <w:tcPr>
            <w:tcW w:type="dxa" w:w="5233"/>
            <w:vAlign w:val="center"/>
            <w:shd w:fill="EAF2F8"/>
          </w:tcPr>
          <w:p>
            <w:r>
              <w:t>Self read and limited self-edit</w:t>
            </w:r>
            <w:r>
              <w:rPr>
                <w:b w:val="0"/>
                <w:sz w:val="16"/>
              </w:rPr>
            </w:r>
          </w:p>
        </w:tc>
      </w:tr>
      <w:tr>
        <w:tc>
          <w:tcPr>
            <w:tcW w:type="dxa" w:w="5233"/>
            <w:vAlign w:val="center"/>
          </w:tcPr>
          <w:p>
            <w:r>
              <w:t>timetable and attendance</w:t>
            </w:r>
            <w:r>
              <w:rPr>
                <w:b w:val="0"/>
                <w:sz w:val="16"/>
              </w:rPr>
            </w:r>
          </w:p>
        </w:tc>
        <w:tc>
          <w:tcPr>
            <w:tcW w:type="dxa" w:w="5233"/>
            <w:vAlign w:val="center"/>
          </w:tcPr>
          <w:p>
            <w:r>
              <w:t>Published schedule and own term marks</w:t>
            </w:r>
            <w:r>
              <w:rPr>
                <w:b w:val="0"/>
                <w:sz w:val="16"/>
              </w:rPr>
            </w:r>
          </w:p>
        </w:tc>
      </w:tr>
      <w:tr>
        <w:tc>
          <w:tcPr>
            <w:tcW w:type="dxa" w:w="5233"/>
            <w:vAlign w:val="center"/>
            <w:shd w:fill="EAF2F8"/>
          </w:tcPr>
          <w:p>
            <w:r>
              <w:t>results and report-cards</w:t>
            </w:r>
            <w:r>
              <w:rPr>
                <w:b w:val="0"/>
                <w:sz w:val="16"/>
              </w:rPr>
            </w:r>
          </w:p>
        </w:tc>
        <w:tc>
          <w:tcPr>
            <w:tcW w:type="dxa" w:w="5233"/>
            <w:vAlign w:val="center"/>
            <w:shd w:fill="EAF2F8"/>
          </w:tcPr>
          <w:p>
            <w:r>
              <w:t>Released latest versions and downloads</w:t>
            </w:r>
            <w:r>
              <w:rPr>
                <w:b w:val="0"/>
                <w:sz w:val="16"/>
              </w:rPr>
            </w:r>
          </w:p>
        </w:tc>
      </w:tr>
      <w:tr>
        <w:tc>
          <w:tcPr>
            <w:tcW w:type="dxa" w:w="5233"/>
            <w:vAlign w:val="center"/>
          </w:tcPr>
          <w:p>
            <w:r>
              <w:t>fees, payments and receipts</w:t>
            </w:r>
            <w:r>
              <w:rPr>
                <w:b w:val="0"/>
                <w:sz w:val="16"/>
              </w:rPr>
            </w:r>
          </w:p>
        </w:tc>
        <w:tc>
          <w:tcPr>
            <w:tcW w:type="dxa" w:w="5233"/>
            <w:vAlign w:val="center"/>
          </w:tcPr>
          <w:p>
            <w:r>
              <w:t>Bills, checkout, history and evidence</w:t>
            </w:r>
            <w:r>
              <w:rPr>
                <w:b w:val="0"/>
                <w:sz w:val="16"/>
              </w:rPr>
            </w:r>
          </w:p>
        </w:tc>
      </w:tr>
      <w:tr>
        <w:tc>
          <w:tcPr>
            <w:tcW w:type="dxa" w:w="5233"/>
            <w:vAlign w:val="center"/>
            <w:shd w:fill="EAF2F8"/>
          </w:tcPr>
          <w:p>
            <w:r>
              <w:t>notices and notifications</w:t>
            </w:r>
            <w:r>
              <w:rPr>
                <w:b w:val="0"/>
                <w:sz w:val="16"/>
              </w:rPr>
            </w:r>
          </w:p>
        </w:tc>
        <w:tc>
          <w:tcPr>
            <w:tcW w:type="dxa" w:w="5233"/>
            <w:vAlign w:val="center"/>
            <w:shd w:fill="EAF2F8"/>
          </w:tcPr>
          <w:p>
            <w:r>
              <w:t>Audience feed, read state and push</w:t>
            </w:r>
            <w:r>
              <w:rPr>
                <w:b w:val="0"/>
                <w:sz w:val="16"/>
              </w:rPr>
            </w:r>
          </w:p>
        </w:tc>
      </w:tr>
      <w:tr>
        <w:tc>
          <w:tcPr>
            <w:tcW w:type="dxa" w:w="5233"/>
            <w:vAlign w:val="center"/>
          </w:tcPr>
          <w:p>
            <w:r>
              <w:t>sessions and app manifest</w:t>
            </w:r>
            <w:r>
              <w:rPr>
                <w:b w:val="0"/>
                <w:sz w:val="16"/>
              </w:rPr>
            </w:r>
          </w:p>
        </w:tc>
        <w:tc>
          <w:tcPr>
            <w:tcW w:type="dxa" w:w="5233"/>
            <w:vAlign w:val="center"/>
          </w:tcPr>
          <w:p>
            <w:r>
              <w:t>Device lifecycle and school-branded install metadata</w:t>
            </w:r>
            <w:r>
              <w:rPr>
                <w:b w:val="0"/>
                <w:sz w:val="16"/>
              </w:rPr>
            </w:r>
          </w:p>
        </w:tc>
      </w:tr>
      <w:tr>
        <w:tc>
          <w:tcPr>
            <w:tcW w:type="dxa" w:w="5233"/>
            <w:vAlign w:val="center"/>
            <w:shd w:fill="EAF2F8"/>
          </w:tcPr>
          <w:p>
            <w:r>
              <w:t>transfer-account</w:t>
            </w:r>
            <w:r>
              <w:rPr>
                <w:b w:val="0"/>
                <w:sz w:val="16"/>
              </w:rPr>
            </w:r>
          </w:p>
        </w:tc>
        <w:tc>
          <w:tcPr>
            <w:tcW w:type="dxa" w:w="5233"/>
            <w:vAlign w:val="center"/>
            <w:shd w:fill="EAF2F8"/>
          </w:tcPr>
          <w:p>
            <w:r>
              <w:t>Permanent account and deposits</w:t>
            </w:r>
            <w:r>
              <w:rPr>
                <w:b w:val="0"/>
                <w:sz w:val="16"/>
              </w:rPr>
            </w:r>
          </w:p>
        </w:tc>
      </w:tr>
    </w:tbl>
    <w:p/>
    <w:p>
      <w:pPr>
        <w:pStyle w:val="Heading1"/>
      </w:pPr>
      <w:r>
        <w:t>8. Field Access</w:t>
      </w:r>
    </w:p>
    <w:p>
      <w:r>
        <w:t>The portal reuses each owning module’s Field Access decision. Pupil portal access is read-only, pupil phone, record email and photograph use Student Management controls, result and finance fields remain governed by their owners, and server-owned status, balances, grades, read evidence and payment state are non-writable.</w:t>
      </w:r>
    </w:p>
    <w:p>
      <w:pPr>
        <w:pStyle w:val="Heading1"/>
      </w:pPr>
      <w:r>
        <w:t>9. Dependencies and Operational Evidence</w:t>
      </w:r>
    </w:p>
    <w:p>
      <w:r>
        <w:t>M03 owns identity, device sessions and all-session revocation.</w:t>
      </w:r>
    </w:p>
    <w:p>
      <w:pPr>
        <w:spacing w:after="60"/>
      </w:pPr>
      <w:r>
        <w:t>M11 owns the pupil, guardian links, portal rules and promotion outcome.</w:t>
      </w:r>
    </w:p>
    <w:p>
      <w:r>
        <w:t>M14 and M15 own published timetable and attendance.</w:t>
      </w:r>
    </w:p>
    <w:p>
      <w:pPr>
        <w:spacing w:after="60"/>
      </w:pPr>
      <w:r>
        <w:t>M16 owns released versioned results and report cards.</w:t>
      </w:r>
    </w:p>
    <w:p>
      <w:r>
        <w:t>M08 owns in-app, email and push delivery.</w:t>
      </w:r>
    </w:p>
    <w:p>
      <w:pPr>
        <w:spacing w:after="60"/>
      </w:pPr>
      <w:r>
        <w:t>The school FAL reads Finance and Payments and books nothing.</w:t>
      </w:r>
    </w:p>
    <w:p>
      <w:r/>
    </w:p>
    <w:p>
      <w:pPr>
        <w:spacing w:after="60"/>
      </w:pPr>
      <w:r/>
    </w:p>
    <w:p>
      <w:r/>
    </w:p>
    <w:p>
      <w:pPr>
        <w:spacing w:after="60"/>
      </w:pPr>
      <w:r/>
    </w:p>
    <w:p>
      <w:r/>
    </w:p>
    <w:p>
      <w:pPr>
        <w:spacing w:after="60"/>
      </w:pPr>
      <w:r/>
    </w:p>
    <w:p>
      <w:pPr>
        <w:pStyle w:val="Heading1"/>
      </w:pPr>
      <w:r>
        <w:t>Current Contracts at 21 October 2026</w:t>
      </w:r>
    </w:p>
    <w:p>
      <w:r>
        <w:t>The pupil messages surface is mounted at /v1/portal/student/messages/. A signed-in pupil lists, reads, starts, replies to, and marks read only their own pupil conversations. Contacts are their teachers and the school office; unread counts are available from the messages route, while the home response does not yet carry its planned unread block.</w:t>
      </w:r>
    </w:p>
    <w:p>
      <w:r>
        <w:t>Fee status includes debit notes in the pupil timeline as charges. Debit notes are not invoices and therefore never expose the card-payment action; invoice payment and receipt behavior is unchanged. Assignments remain the only unowned and unbuilt portal capability.</w:t>
      </w:r>
    </w:p>
    <w:p>
      <w:pPr>
        <w:pStyle w:val="Heading1"/>
      </w:pPr>
      <w:r>
        <w:t>10. Needs Attention</w:t>
      </w:r>
    </w:p>
    <w:p>
      <w:r>
        <w:t>Messages and Assignments are not built and have no owning module.</w:t>
      </w:r>
    </w:p>
    <w:p>
      <w:pPr>
        <w:spacing w:after="60"/>
      </w:pPr>
      <w:r>
        <w:t>Frontend delivery, deployment and operational adoption are not inferred from backend evidence.</w:t>
      </w:r>
    </w:p>
    <w:p>
      <w:r/>
    </w:p>
    <w:p>
      <w:pPr>
        <w:spacing w:after="60"/>
      </w:pPr>
      <w:r/>
    </w:p>
    <w:p>
      <w:pPr>
        <w:pStyle w:val="Heading1"/>
      </w:pPr>
      <w:r>
        <w:t>11. MRD Traceability</w:t>
      </w:r>
    </w:p>
    <w:p>
      <w:r>
        <w:t>MRD v2.110 moves Module 27 from Planned to Backend Partial and In use Partial. Its ten entries now record home, profile, timetable, attendance, results, fees and receipts, downloads, notices and notifications, secure device sessions and pupil privacy as implemented backend contracts, with Messages and Assignments outside the current capability list.</w:t>
      </w:r>
    </w:p>
    <w:p>
      <w:pPr>
        <w:pStyle w:val="Heading1"/>
        <w:keepNext/>
        <w:pageBreakBefore/>
      </w:pPr>
      <w:r>
        <w:t>12. Change Log</w:t>
      </w:r>
    </w:p>
    <w:tbl>
      <w:tblPr>
        <w:tblW w:type="auto" w:w="0"/>
        <w:tblLook w:firstColumn="1" w:firstRow="1" w:lastColumn="0" w:lastRow="0" w:noHBand="0" w:noVBand="1" w:val="04A0"/>
      </w:tblPr>
      <w:tr>
        <w:tc>
          <w:tcPr>
            <w:tcW w:type="dxa" w:w="3489"/>
            <w:vAlign w:val="center"/>
          </w:tcPr>
          <w:p>
            <w:r>
              <w:t>1.0</w:t>
            </w:r>
            <w:r>
              <w:rPr>
                <w:b w:val="0"/>
                <w:sz w:val="16"/>
              </w:rPr>
            </w:r>
          </w:p>
        </w:tc>
        <w:tc>
          <w:tcPr>
            <w:tcW w:type="dxa" w:w="3489"/>
            <w:vAlign w:val="center"/>
          </w:tcPr>
          <w:p>
            <w:r>
              <w:t>19 October 2026</w:t>
            </w:r>
            <w:r>
              <w:rPr>
                <w:b w:val="0"/>
                <w:sz w:val="16"/>
              </w:rPr>
            </w:r>
          </w:p>
        </w:tc>
        <w:tc>
          <w:tcPr>
            <w:tcW w:type="dxa" w:w="3489"/>
            <w:vAlign w:val="center"/>
          </w:tcPr>
          <w:p>
            <w:r>
              <w:t>First Student Portal FRD. Records the mounted pupil backend through bb104cee: identity, home, profile, timetable, attendance, released results, fees, notices, device sessions, push and installable-app metadata. Backend evidence only; no frontend or deployment claim.</w:t>
            </w:r>
            <w:r>
              <w:rPr>
                <w:b w:val="0"/>
                <w:sz w:val="16"/>
              </w:rPr>
            </w:r>
          </w:p>
        </w:tc>
      </w:tr>
      <w:tblGrid>
        <w:gridCol w:w="3489"/>
        <w:gridCol w:w="3489"/>
        <w:gridCol w:w="3489"/>
      </w:tblGrid>
      <w:tr>
        <w:trPr>
          <w:tblHeader w:val="true"/>
        </w:trPr>
        <w:tc>
          <w:tcPr>
            <w:tcW w:type="dxa" w:w="3489"/>
            <w:shd w:fill="1F4E78"/>
            <w:vAlign w:val="center"/>
          </w:tcPr>
          <w:p>
            <w:r>
              <w:t>1.1</w:t>
            </w:r>
            <w:r>
              <w:rPr>
                <w:b/>
                <w:color w:val="FFFFFF"/>
                <w:sz w:val="16"/>
              </w:rPr>
            </w:r>
          </w:p>
        </w:tc>
        <w:tc>
          <w:tcPr>
            <w:tcW w:type="dxa" w:w="3489"/>
            <w:shd w:fill="1F4E78"/>
            <w:vAlign w:val="center"/>
          </w:tcPr>
          <w:p>
            <w:r>
              <w:t>21 October 2026</w:t>
            </w:r>
            <w:r>
              <w:rPr>
                <w:b/>
                <w:color w:val="FFFFFF"/>
                <w:sz w:val="16"/>
              </w:rPr>
            </w:r>
          </w:p>
        </w:tc>
        <w:tc>
          <w:tcPr>
            <w:tcW w:type="dxa" w:w="3489"/>
            <w:shd w:fill="1F4E78"/>
            <w:vAlign w:val="center"/>
          </w:tcPr>
          <w:p>
            <w:r>
              <w:t>Adds pupil Messaging and debit-note fee-status contracts; narrows the remaining gap to Assignments and the home unread block.</w:t>
            </w:r>
            <w:r>
              <w:rPr>
                <w:b/>
                <w:color w:val="FFFFFF"/>
                <w:sz w:val="16"/>
              </w:rPr>
            </w:r>
          </w:p>
        </w:tc>
      </w:tr>
      <w:tr>
        <w:tc>
          <w:tcPr>
            <w:tcW w:type="dxa" w:w="3489"/>
            <w:vAlign w:val="center"/>
          </w:tcPr>
          <w:p>
            <w:r>
              <w:t>1.0</w:t>
            </w:r>
            <w:r>
              <w:rPr>
                <w:b w:val="0"/>
                <w:sz w:val="16"/>
              </w:rPr>
            </w:r>
          </w:p>
        </w:tc>
        <w:tc>
          <w:tcPr>
            <w:tcW w:type="dxa" w:w="3489"/>
            <w:vAlign w:val="center"/>
          </w:tcPr>
          <w:p>
            <w:r>
              <w:t>19 October 2026</w:t>
            </w:r>
            <w:r>
              <w:rPr>
                <w:b w:val="0"/>
                <w:sz w:val="16"/>
              </w:rPr>
            </w:r>
          </w:p>
        </w:tc>
        <w:tc>
          <w:tcPr>
            <w:tcW w:type="dxa" w:w="3489"/>
            <w:vAlign w:val="center"/>
          </w:tcPr>
          <w:p>
            <w:r>
              <w:t>First Student Portal FRD. Records the mounted pupil backend through bb104cee: identity, home, profile, timetable, attendance, released results, fees, notices, device sessions, push and installable-app metadata. Backend evidence only; no frontend or deployment claim.</w:t>
            </w:r>
            <w:r>
              <w:rPr>
                <w:b w:val="0"/>
                <w:sz w:val="16"/>
              </w:rPr>
            </w:r>
          </w:p>
        </w:tc>
      </w:tr>
    </w:tbl>
    <w:p/>
    <w:sectPr w:rsidR="009D0EA2">
      <w:headerReference w:type="even" r:id="rId7"/>
      <w:headerReference w:type="default" r:id="rId8"/>
      <w:footerReference w:type="default" r:id="rId9"/>
      <w:headerReference w:type="first" r:id="rId10"/>
      <w:footerReference w:type="first" r:id="rId14"/>
      <w:footerReference w:type="even" r:id="rId15"/>
      <w:pgSz w:w="11906" w:h="16838"/>
      <w:pgMar w:top="1080" w:right="720" w:bottom="893" w:left="720" w:header="560" w:footer="560" w:gutter="0"/>
      <w:pgBorders w:offsetFrom="page">
        <w:left w:val="dotted" w:sz="4" w:space="24" w:color="auto"/>
        <w:right w:val="dotted"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8E21791" w14:textId="77777777" w:rsidR="009D0EA2" w:rsidRDefault="009D0EA2">
      <w:r>
        <w:separator/>
      </w:r>
    </w:p>
  </w:endnote>
  <w:endnote w:type="continuationSeparator" w:id="0">
    <w:p w14:paraId="5455C193" w14:textId="77777777" w:rsidR="009D0EA2" w:rsidRDefault="009D0EA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Narrow">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E26574D" w14:textId="77777777" w:rsidR="00B06F99" w:rsidRDefault="00000000">
    <w:pPr>
      <w:pBdr>
        <w:top w:val="single" w:sz="6" w:space="4" w:color="BFBFBF"/>
      </w:pBdr>
      <w:jc w:val="right"/>
    </w:pPr>
    <w:r>
      <w:rPr>
        <w:color w:val="5A6472"/>
        <w:szCs w:val="18"/>
      </w:rPr>
      <w:fldChar w:fldCharType="begin"/>
    </w:r>
    <w:r>
      <w:rPr>
        <w:color w:val="5A6472"/>
        <w:szCs w:val="18"/>
      </w:rPr>
      <w:instrText>PAGE</w:instrText>
    </w:r>
    <w:r>
      <w:rPr>
        <w:color w:val="5A6472"/>
        <w:szCs w:val="18"/>
      </w:rPr>
      <w:fldChar w:fldCharType="separate"/>
    </w:r>
    <w:r w:rsidR="008F44EE">
      <w:rPr>
        <w:noProof/>
        <w:color w:val="5A6472"/>
        <w:szCs w:val="18"/>
      </w:rPr>
      <w:t>3</w:t>
    </w:r>
    <w:r>
      <w:rPr>
        <w:color w:val="5A6472"/>
        <w:szCs w:val="18"/>
      </w:rPr>
      <w:fldChar w:fldCharType="end"/>
    </w:r>
    <w:r>
      <w:rPr>
        <w:color w:val="5A6472"/>
        <w:szCs w:val="18"/>
      </w:rPr>
      <w:t xml:space="preserve"> | P a g e</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7D756A4" w14:textId="77777777" w:rsidR="009D0EA2" w:rsidRDefault="009D0EA2">
      <w:r>
        <w:separator/>
      </w:r>
    </w:p>
  </w:footnote>
  <w:footnote w:type="continuationSeparator" w:id="0">
    <w:p w14:paraId="4F82DB6D" w14:textId="77777777" w:rsidR="009D0EA2" w:rsidRDefault="009D0EA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1EC25A3" w14:textId="77777777" w:rsidR="00B06F99" w:rsidRDefault="00000000">
    <w:pPr>
      <w:pBdr>
        <w:bottom w:val="single" w:sz="12" w:space="5" w:color="355B9D"/>
      </w:pBdr>
      <w:tabs>
        <w:tab w:val="right" w:pos="10466"/>
      </w:tabs>
      <w:spacing w:after="0"/>
    </w:pPr>
    <w:r>
      <w:rPr>
        <w:rFonts w:eastAsia="Aptos Narrow" w:cs="Aptos Narrow"/>
        <w:color w:val="355B9D"/>
        <w:sz w:val="17"/>
        <w:szCs w:val="18"/>
      </w:rPr>
      <w:t>CodeX | Billing &amp; Invoicing | Functional Requirements Document (FRD)</w:t>
    </w:r>
    <w:r>
      <w:tab/>
    </w:r>
    <w:r>
      <w:rPr>
        <w:noProof/>
      </w:rPr>
      <w:drawing>
        <wp:inline distT="0" distB="0" distL="0" distR="0" wp14:anchorId="472627C1" wp14:editId="1DCFDFCC">
          <wp:extent cx="247650" cy="209550"/>
          <wp:effectExtent l="0" t="0" r="0" b="0"/>
          <wp:docPr id="1359901648"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47650" cy="209550"/>
                  </a:xfrm>
                  <a:prstGeom prst="rect">
                    <a:avLst/>
                  </a:prstGeom>
                </pic:spPr>
              </pic:pic>
            </a:graphicData>
          </a:graphic>
        </wp:inline>
      </w:drawing>
    </w:r>
    <w:r>
      <w:rPr>
        <w:noProof/>
      </w:rPr>
      <w:drawing>
        <wp:anchor distT="0" distB="0" distL="0" distR="0" simplePos="0" relativeHeight="251657728" behindDoc="1" locked="0" layoutInCell="1" allowOverlap="1" wp14:anchorId="4AC94FEE" wp14:editId="280C277E">
          <wp:simplePos x="0" y="0"/>
          <wp:positionH relativeFrom="page">
            <wp:align>center</wp:align>
          </wp:positionH>
          <wp:positionV relativeFrom="page">
            <wp:align>center</wp:align>
          </wp:positionV>
          <wp:extent cx="2857500" cy="2381250"/>
          <wp:effectExtent l="0" t="0" r="0" b="0"/>
          <wp:wrapNone/>
          <wp:docPr id="2012909521"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857500" cy="238125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42B8AC7" w14:textId="77777777" w:rsidR="00B06F99" w:rsidRDefault="004B4937">
    <w:pPr>
      <w:pBdr>
        <w:bottom w:val="single" w:sz="12" w:space="5" w:color="355B9D"/>
      </w:pBdr>
      <w:tabs>
        <w:tab w:val="right" w:pos="10466"/>
      </w:tabs>
      <w:spacing w:after="0"/>
    </w:pPr>
    <w:r>
      <w:rPr>
        <w:noProof/>
      </w:rPr>
      <w:t>CodeX | Student Portal | Functional Requirements Document (FRD)</w:t>
      <w:tab/>
    </w:r>
    <w:r>
      <w:rPr>
        <w:rFonts w:eastAsia="Aptos Narrow" w:cs="Aptos Narrow"/>
        <w:color w:val="355B9D"/>
        <w:sz w:val="17"/>
        <w:szCs w:val="18"/>
      </w:rPr>
    </w:r>
    <w:r/>
    <w:r>
      <w:rPr>
        <w:noProof/>
      </w:rPr>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6EC6DD7" w14:textId="77777777" w:rsidR="00B06F99" w:rsidRDefault="00000000">
    <w:r>
      <w:rPr>
        <w:noProof/>
      </w:rPr>
      <w:drawing>
        <wp:anchor distT="0" distB="0" distL="0" distR="0" simplePos="0" relativeHeight="251658752" behindDoc="1" locked="0" layoutInCell="1" allowOverlap="1" wp14:anchorId="60548E07" wp14:editId="26D99E2D">
          <wp:simplePos x="0" y="0"/>
          <wp:positionH relativeFrom="page">
            <wp:posOffset>0</wp:posOffset>
          </wp:positionH>
          <wp:positionV relativeFrom="page">
            <wp:posOffset>0</wp:posOffset>
          </wp:positionV>
          <wp:extent cx="7562850" cy="10696575"/>
          <wp:effectExtent l="0" t="0" r="0" b="0"/>
          <wp:wrapNone/>
          <wp:docPr id="848969519" name="cover" descr="cityscape cover" title="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204F5E"/>
    <w:multiLevelType w:val="hybridMultilevel"/>
    <w:tmpl w:val="16E4A6B2"/>
    <w:lvl w:ilvl="0" w:tplc="6E0424D6">
      <w:start w:val="1"/>
      <w:numFmt w:val="bullet"/>
      <w:lvlText w:val="•"/>
      <w:lvlJc w:val="left"/>
      <w:pPr>
        <w:ind w:left="460" w:hanging="260"/>
      </w:pPr>
      <w:rPr>
        <w:color w:val="4472C4"/>
      </w:rPr>
    </w:lvl>
    <w:lvl w:ilvl="1" w:tplc="722EB47C">
      <w:numFmt w:val="decimal"/>
      <w:lvlText w:val=""/>
      <w:lvlJc w:val="left"/>
    </w:lvl>
    <w:lvl w:ilvl="2" w:tplc="927ACA02">
      <w:numFmt w:val="decimal"/>
      <w:lvlText w:val=""/>
      <w:lvlJc w:val="left"/>
    </w:lvl>
    <w:lvl w:ilvl="3" w:tplc="2E525AA0">
      <w:numFmt w:val="decimal"/>
      <w:lvlText w:val=""/>
      <w:lvlJc w:val="left"/>
    </w:lvl>
    <w:lvl w:ilvl="4" w:tplc="401604F2">
      <w:numFmt w:val="decimal"/>
      <w:lvlText w:val=""/>
      <w:lvlJc w:val="left"/>
    </w:lvl>
    <w:lvl w:ilvl="5" w:tplc="1E0E7D50">
      <w:numFmt w:val="decimal"/>
      <w:lvlText w:val=""/>
      <w:lvlJc w:val="left"/>
    </w:lvl>
    <w:lvl w:ilvl="6" w:tplc="F9C240A4">
      <w:numFmt w:val="decimal"/>
      <w:lvlText w:val=""/>
      <w:lvlJc w:val="left"/>
    </w:lvl>
    <w:lvl w:ilvl="7" w:tplc="55AC28D6">
      <w:numFmt w:val="decimal"/>
      <w:lvlText w:val=""/>
      <w:lvlJc w:val="left"/>
    </w:lvl>
    <w:lvl w:ilvl="8" w:tplc="02C0F3A8">
      <w:numFmt w:val="decimal"/>
      <w:lvlText w:val=""/>
      <w:lvlJc w:val="left"/>
    </w:lvl>
  </w:abstractNum>
  <w:abstractNum w:abstractNumId="1" w15:restartNumberingAfterBreak="0">
    <w:nsid w:val="7D452660"/>
    <w:multiLevelType w:val="hybridMultilevel"/>
    <w:tmpl w:val="F7FC3EB2"/>
    <w:lvl w:ilvl="0" w:tplc="997A7784">
      <w:start w:val="1"/>
      <w:numFmt w:val="bullet"/>
      <w:lvlText w:val="●"/>
      <w:lvlJc w:val="left"/>
      <w:pPr>
        <w:ind w:left="720" w:hanging="360"/>
      </w:pPr>
    </w:lvl>
    <w:lvl w:ilvl="1" w:tplc="8818974E">
      <w:start w:val="1"/>
      <w:numFmt w:val="bullet"/>
      <w:lvlText w:val="○"/>
      <w:lvlJc w:val="left"/>
      <w:pPr>
        <w:ind w:left="1440" w:hanging="360"/>
      </w:pPr>
    </w:lvl>
    <w:lvl w:ilvl="2" w:tplc="382C4E56">
      <w:start w:val="1"/>
      <w:numFmt w:val="bullet"/>
      <w:lvlText w:val="■"/>
      <w:lvlJc w:val="left"/>
      <w:pPr>
        <w:ind w:left="2160" w:hanging="360"/>
      </w:pPr>
    </w:lvl>
    <w:lvl w:ilvl="3" w:tplc="AB381E2C">
      <w:start w:val="1"/>
      <w:numFmt w:val="bullet"/>
      <w:lvlText w:val="●"/>
      <w:lvlJc w:val="left"/>
      <w:pPr>
        <w:ind w:left="2880" w:hanging="360"/>
      </w:pPr>
    </w:lvl>
    <w:lvl w:ilvl="4" w:tplc="F2E6E986">
      <w:start w:val="1"/>
      <w:numFmt w:val="bullet"/>
      <w:lvlText w:val="○"/>
      <w:lvlJc w:val="left"/>
      <w:pPr>
        <w:ind w:left="3600" w:hanging="360"/>
      </w:pPr>
    </w:lvl>
    <w:lvl w:ilvl="5" w:tplc="3DF0A4E6">
      <w:start w:val="1"/>
      <w:numFmt w:val="bullet"/>
      <w:lvlText w:val="■"/>
      <w:lvlJc w:val="left"/>
      <w:pPr>
        <w:ind w:left="4320" w:hanging="360"/>
      </w:pPr>
    </w:lvl>
    <w:lvl w:ilvl="6" w:tplc="8D6AC05C">
      <w:start w:val="1"/>
      <w:numFmt w:val="bullet"/>
      <w:lvlText w:val="●"/>
      <w:lvlJc w:val="left"/>
      <w:pPr>
        <w:ind w:left="5040" w:hanging="360"/>
      </w:pPr>
    </w:lvl>
    <w:lvl w:ilvl="7" w:tplc="20F01714">
      <w:start w:val="1"/>
      <w:numFmt w:val="bullet"/>
      <w:lvlText w:val="●"/>
      <w:lvlJc w:val="left"/>
      <w:pPr>
        <w:ind w:left="5760" w:hanging="360"/>
      </w:pPr>
    </w:lvl>
    <w:lvl w:ilvl="8" w:tplc="AE7660C8">
      <w:start w:val="1"/>
      <w:numFmt w:val="bullet"/>
      <w:lvlText w:val="●"/>
      <w:lvlJc w:val="left"/>
      <w:pPr>
        <w:ind w:left="6480" w:hanging="360"/>
      </w:pPr>
    </w:lvl>
  </w:abstractNum>
  <w:num w:numId="1" w16cid:durableId="1407534841">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6F99"/>
    <w:rsid w:val="000D42B9"/>
    <w:rsid w:val="000E3B70"/>
    <w:rsid w:val="00115784"/>
    <w:rsid w:val="00140AC7"/>
    <w:rsid w:val="00181B60"/>
    <w:rsid w:val="002E2222"/>
    <w:rsid w:val="00472341"/>
    <w:rsid w:val="00483C9E"/>
    <w:rsid w:val="00491325"/>
    <w:rsid w:val="004B4937"/>
    <w:rsid w:val="00603681"/>
    <w:rsid w:val="006B3CEE"/>
    <w:rsid w:val="008F44EE"/>
    <w:rsid w:val="009D0EA2"/>
    <w:rsid w:val="00A62A3E"/>
    <w:rsid w:val="00B06F99"/>
    <w:rsid w:val="00BC5CB6"/>
    <w:rsid w:val="00BD37DE"/>
    <w:rsid w:val="00C24B07"/>
    <w:rsid w:val="00CF0ADF"/>
    <w:rsid w:val="00D11A40"/>
    <w:rsid w:val="00DF3480"/>
    <w:rsid w:val="00DF58C5"/>
    <w:rsid w:val="00E02108"/>
    <w:rsid w:val="00E51340"/>
    <w:rsid w:val="00E62093"/>
    <w:rsid w:val="00E73CFF"/>
    <w:rsid w:val="00E748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FEB547"/>
  <w15:docId w15:val="{E19EA510-7BB3-A245-84A4-5CC32F08D5CD}"/>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ptos" w:eastAsia="Aptos" w:hAnsi="Aptos" w:cs="Aptos"/>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0"/>
    </w:pPr>
    <w:rPr>
      <w:rFonts w:ascii="Aptos Narrow" w:hAnsi="Aptos Narrow"/>
      <w:sz w:val="18"/>
    </w:rPr>
  </w:style>
  <w:style w:type="paragraph" w:styleId="Heading1">
    <w:name w:val="heading 1"/>
    <w:uiPriority w:val="9"/>
    <w:qFormat/>
    <w:pPr>
      <w:spacing w:before="300" w:after="160"/>
      <w:outlineLvl w:val="0"/>
    </w:pPr>
    <w:rPr>
      <w:rFonts w:ascii="Aptos Narrow" w:eastAsia="Aptos Narrow" w:hAnsi="Aptos Narrow" w:cs="Aptos Narrow"/>
      <w:b/>
      <w:bCs/>
      <w:color w:val="000000"/>
      <w:sz w:val="34"/>
      <w:szCs w:val="34"/>
    </w:rPr>
  </w:style>
  <w:style w:type="paragraph" w:styleId="Heading2">
    <w:name w:val="heading 2"/>
    <w:uiPriority w:val="9"/>
    <w:unhideWhenUsed/>
    <w:qFormat/>
    <w:pPr>
      <w:spacing w:before="220" w:after="120"/>
      <w:outlineLvl w:val="1"/>
    </w:pPr>
    <w:rPr>
      <w:rFonts w:ascii="Aptos Narrow" w:eastAsia="Aptos Narrow" w:hAnsi="Aptos Narrow" w:cs="Aptos Narrow"/>
      <w:b/>
      <w:bCs/>
      <w:color w:val="000000"/>
      <w:sz w:val="27"/>
      <w:szCs w:val="27"/>
    </w:rPr>
  </w:style>
  <w:style w:type="paragraph" w:styleId="Heading3">
    <w:name w:val="heading 3"/>
    <w:uiPriority w:val="9"/>
    <w:semiHidden/>
    <w:unhideWhenUsed/>
    <w:qFormat/>
    <w:pPr>
      <w:spacing w:before="160" w:after="80"/>
      <w:outlineLvl w:val="2"/>
    </w:pPr>
    <w:rPr>
      <w:rFonts w:ascii="Aptos Narrow" w:eastAsia="Aptos Narrow" w:hAnsi="Aptos Narrow" w:cs="Aptos Narrow"/>
      <w:b/>
      <w:bCs/>
      <w:color w:val="1F3763"/>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F44EE"/>
    <w:pPr>
      <w:spacing w:after="100"/>
    </w:pPr>
  </w:style>
  <w:style w:type="paragraph" w:styleId="TOC2">
    <w:name w:val="toc 2"/>
    <w:basedOn w:val="Normal"/>
    <w:next w:val="Normal"/>
    <w:autoRedefine/>
    <w:uiPriority w:val="39"/>
    <w:unhideWhenUsed/>
    <w:rsid w:val="008F44EE"/>
    <w:pPr>
      <w:spacing w:after="100"/>
      <w:ind w:left="220"/>
    </w:pPr>
  </w:style>
  <w:style w:type="paragraph" w:styleId="Footer">
    <w:name w:val="footer"/>
    <w:basedOn w:val="Normal"/>
    <w:link w:val="FooterChar"/>
    <w:uiPriority w:val="99"/>
    <w:unhideWhenUsed/>
    <w:rsid w:val="004B4937"/>
    <w:pPr>
      <w:tabs>
        <w:tab w:val="center" w:pos="4680"/>
        <w:tab w:val="right" w:pos="9360"/>
      </w:tabs>
    </w:pPr>
  </w:style>
  <w:style w:type="character" w:customStyle="1" w:styleId="FooterChar">
    <w:name w:val="Footer Char"/>
    <w:basedOn w:val="DefaultParagraphFont"/>
    <w:link w:val="Footer"/>
    <w:uiPriority w:val="99"/>
    <w:rsid w:val="004B49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 Id="rId13" Type="http://schemas.openxmlformats.org/officeDocument/2006/relationships/image" Target="media/image1.png"/><Relationship Id="rId14" Type="http://schemas.openxmlformats.org/officeDocument/2006/relationships/footer" Target="footer2.xml"/><Relationship Id="rId15" Type="http://schemas.openxmlformats.org/officeDocument/2006/relationships/footer" Target="footer3.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TotalTime>
  <Pages>16</Pages>
  <Words>4601</Words>
  <Characters>26229</Characters>
  <Application>Microsoft Office Word</Application>
  <DocSecurity>0</DocSecurity>
  <Lines>218</Lines>
  <Paragraphs>61</Paragraphs>
  <ScaleCrop>false</ScaleCrop>
  <HeadingPairs>
    <vt:vector size="2" baseType="variant">
      <vt:variant>
        <vt:lpstr>Title</vt:lpstr>
      </vt:variant>
      <vt:variant>
        <vt:i4>1</vt:i4>
      </vt:variant>
    </vt:vector>
  </HeadingPairs>
  <TitlesOfParts>
    <vt:vector size="1" baseType="lpstr">
      <vt:lpstr>School and Branch Management Functional Requirements Document v1.1</vt:lpstr>
    </vt:vector>
  </TitlesOfParts>
  <Company/>
  <LinksUpToDate>false</LinksUpToDate>
  <CharactersWithSpaces>30769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Workflow and Approval Engine Functional Requirements Document v1.1</dc:title>
  <dc:subject>Code-aligned functional requirements for XVS Module 1</dc:subject>
  <dc:creator>CodeX Team</dc:creator>
  <dc:description>Built from v2.2 visual template and reviewed against the current backend worktree.</dc:description>
  <cp:lastModifiedBy>Chidera Ohiaekpete</cp:lastModifiedBy>
  <cp:revision>6</cp:revision>
  <cp:lastPrinted>2026-07-17T18:03:00Z</cp:lastPrinted>
  <dcterms:created xsi:type="dcterms:W3CDTF">2026-07-17T18:03:00Z</dcterms:created>
  <dcterms:modified xsi:type="dcterms:W3CDTF">2026-08-11T15:03:00Z</dcterms:modified>
  <cp:version>1.1</cp:version>
</cp:coreProperties>
</file>