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2.98</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staff leave rules and return-date behavior reviewed 1 October 2026 in the working tree, with 120 affected backend tests passing. Frontend code was typechecked and its focused tests passed. These review copies do not imply deployment or a completed production migration.</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v1.31.</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v2.13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v2.17.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v1.5.</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v2.96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the tracker to the committed D51 to D82 queue and to the module versions listed below. The work refines existing module capabilities and does not change the platform total of 512 capability entries or any module status.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pPr>
        <w:pStyle w:val="Heading2"/>
      </w:pPr>
      <w:r>
        <w:t>Current Capability Contracts</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gaps are the year-end transition-year workflow, corrections for historical WHT payouts, gross settlement reconciliation, unbranched tax-line backfill, and document or export formatting that still ignores school display settings.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2.96</cp:version>
</cp:coreProperties>
</file>