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2.8</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4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Commit 1d68109 plus onboarding lifecycle email refinements and migration 0016 under review (4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v2.62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v2.7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2.8 makes the six onboarding messages follow the lifecycle they describe. Readiness now tells the School to submit for platform review, review and activation use readable local timestamps, expiry uses a readable deadline and precise sign-in consequence, and the operator report separates ageing Schools from those already suspended. Existing machine-readable context keys remain available to customized templates.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Module 9 receives no half-created School to repair.</w:t>
              <w:br/>
              <w:t>• FIRST_ADMIN still checks later invitation activation and account or assignment liveness. ROLE_BASELINE still checks that the School administrator role grants authority before go-live.</w:t>
              <w:br/>
              <w:t>• A School completes the seven-step catalog and submits a request. Platform staff alone approve, reject, activate, and reinstate; the ready email now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Module 1 now makes the required administrator part of the School transaction and refuses creation when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FIRST_ADMIN requires an active tenant user holding an active whole-tenant school_admin assignment with no Branch. ROLE_BASELINE requires the tenant's school_admin role to carry at least one granted permission.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FIRST_ADMIN or ROLE_BASELINE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Invitation delivery and activation failures still require the invitation operations to resend or repair them before FIRST_ADMIN can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and the required administrator account,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whole-tenant school_admin role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mounted Module 13 records satisfy the required academic-structure checks.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required administrator, and package.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20 capability entries in MRD v2.62. Each maps to the requirements below. Clearer lifecycle mail strengthens the existing onboarding notification, expiry warning, and operator report capabilities without adding an event or changing the count.</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v2.8</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v2.8</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2.8</cp:version>
</cp:coreProperties>
</file>