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opening the payments engine to the school permission catalogue. A school role could read what had been invoiced and never what was paid: payments is a module of its own, no quantity of finance grants carries a payments key, and the catalogue offered none, so the Collections screen refused every school user correctly and permanently. A read-only Money In group now names payments.collection.view, payments.virtual_account.view and payments.report.view. It grants nobody anything until an administrator attaches it to a role.</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v2.60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The school catalogue reaches the payments engine, so a school can be granted the money arriving from its parents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The invitation now names the inviter and tenant workspace, states the seven-day expiry and one-time use, and keeps the secure link available in plain text as well as the HTML action.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Standard email templates resolve issuer, entity, or tenant branding at render time and use one polished, email-client-safe layout. The user invitation is the first purpose-specific refinement: it names the inviter and workspace, explains the expiry and one-time link, and keeps plain-text and HTML delivery usable. Migrations refresh platform-maintained markup while preserving every staff-authored override.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v2.60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one capability, and it is a grant that was not previously expressible rather than a screen that was not built. A bursar could open the invoice list and see that a parent had been billed. Opening Collections to check whether the money arrived returned a refusal, and the refusal was correct: payments is a separate module from finance, no quantity of finance grants carries a payments key with it, and the school catalogue named no payments key at all. The screen was reachable and permanently shut, for everybody, at every school.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v2.60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money arriving from parents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Grantable to a school at last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seed_school_permission_groups gains a school-wide Money In group carrying payments.collection.view, payments.virtual_account.view and payments.report.view, taking the catalogue to twenty-nine groups over eight modules: fifteen school-wide, fourteen branch-scopable, eleven of them naming an engine. School-wide rather than branch-scopable because a payment arrives against an invoice and the invoice carries the branch; the gateway record has no branch of its own to narrow by. Every verb in it is view. Starting a collection, opening or managing a virtual account, and the two view_sensitive keys that expose a payer's own account details are all restricted, so none of them is groupable, which is the intended shape rather than an omission. The command still grants nothing: it writes no TenantRoleGroup row, so every school's effective permissions are identical before and after a run and an administrator decides who gets it.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