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1.11</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10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2"/>
        <w:keepNext/>
        <w:pBdr>
          <w:bottom w:val="single" w:sz="8" w:space="5" w:color="355B9D"/>
        </w:pBdr>
      </w:pPr>
      <w:r>
        <w:t xml:space="preserve">FR-015  Calculate the School Subscription Charge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The platform subscription charge must use the school's saved per-student agreement and the number of ACTIVE students on the billing date, preserving the quantity and rate as a charge snapshot before any invoice is created.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calculate_subscription_charge validates that the subscription is active and the billing date is within its start and expiry dates, counts Student rows in ACTIVE status in the school's tenant, applies the greater of that count and the agreed minimum, and returns the date, active count, billable count, saved minor-unit rate and amount. An amount of zero declares that no invoice should be raised.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Bright Star on Basic with 120 ACTIVE students produces a NGN 420,000 snapshot at NGN 3,500 each. Enrolled but unplaced, suspended and former students do not count. A newly registered school with no ACTIVE students and a zero minimum produces amount zero and should_invoice false. A later catalogue edit does not change the school's saved rate.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No recurring scheduler or invoice-writing service consumes this snapshot yet. This revision deliberately does not create an invoice at school registration.</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r>
        <w:tc>
          <w:tcPr>
            <w:tcW w:type="dxa" w:w="6000"/>
          </w:tcPr>
          <w:p>
            <w:r>
              <w:t>Per-active-student platform subscription charge snapshot</w:t>
            </w:r>
          </w:p>
        </w:tc>
        <w:tc>
          <w:tcPr>
            <w:tcW w:type="dxa" w:w="4468"/>
          </w:tcPr>
          <w:p>
            <w:r>
              <w:t>FR-015</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1.11</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1.11</w:t>
            </w:r>
          </w:p>
        </w:tc>
      </w:t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