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23: Purchase Orders, Delivery &amp; AP</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M23 | Purchase Orders, Delivery &amp; AP</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v2.12 | Module 23</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vs_workflow,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Commitment through receipt, bill and payment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The GR/IR control,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commit, receive, bill, and pay</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procure-to-pay chain and its four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documents and the sub-ledger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approval, vendor, and payment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23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and totals, approval hand-off, issue, and the emailed order with its delivery record and retry.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what arrived, accepted against rejected quantities, and the receipt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Comparing the order, the posted receipt and the bill within configured tolerances.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duplicate control, matching, and the accounts-payable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Drafting a settlement plan, approval hand-off, posting with withholding tax and the advance split, allocation, cancellation and reversal.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GR/IR balance and aging, cash requirements, and cycle time.</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 An award hands this module a draft order.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This module enforces those gates; it does not set them.</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 A receipt of a stock-tracked line updates the sub-ledger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Every posting here goes through its service.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where a confirmed payout books a vendor payment through this module's payables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Where the Boundaries Are Drawn</w:t>
      </w:r>
    </w:p>
    <w:p w:rsidR="00A62A3E" w:rsidRDefault="00000000">
      <w:pPr>
        <w:spacing w:after="120"/>
      </w:pPr>
      <w:r>
        <w:t xml:space="preserve">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procurement.purchase_order.* (create and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procurement.goods_receipt.post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procurement.vendor_payment.*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procurement.report.view</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commitment to a supplier must be an explicit, approvable act with server-derived totals.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award in Module 22 produces a draft, not an issued order, so the commitment remains a separate deliberate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Emailing a purchase order must be durable and retryable rather than fire-and-forget.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order email is scheduled, rendered and delivered through a durable path with a preview endpoint, a per-delivery record, and an explicit retry.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failed send is visible as a delivery record and can be retried without re-issuing the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belongs in the period the goods arrived, not the period the bill turned 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Rejected quantities are not capitalised or expensed. A stock-tracked line additionally raises quantity and value in Module 24's sub-ledger, while this journal posts the ledger 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supplier's bill must be checked against what was ordered and what actually arrived before it becomes a payable.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reports on the purchase price variance account, so the variance is isolated in the ledger but surfaced on no screen.</w:t>
            </w:r>
          </w:p>
        </w:tc>
      </w:tr>
    </w:tbl>
    <w:p w:rsidR="00A62A3E" w:rsidRDefault="00000000">
      <w:pPr>
        <w:spacing w:after="0"/>
      </w:pPr>
    </w:p>
    <w:p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invoice must not be capturable twice, and a retried submission must not create a second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reference-check endpoint answers before capture. Same-vendor duplicates are hard-blocked, cross-vendor matches raise a warning requiring confirmation, validation runs both early and at save time, and creation is retry-safe.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network retry of the same capture yields one bill, not two. A genuine same-reference bill from a different vendor is possible but must be confirmed deliberately.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matched bill must clear what the receipt parked and recognise what is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GR/IR clearing, plus recoverable input VAT where applicable, and credits accounts payable. For an order-based bill the debit clears the GR/IR liability the receipt parked; a non-PO bill debits the expense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Once goods are both received and billed, GR/IR nets to zero for that line, which is the property the GR/IR report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more than is currently billed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The truth is that the entity is out of pocket and the vendor owes goods, which is an asset, and the split records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already paid must be usable against a bill that arrives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reclassification is dated on the later document, so neither side of the pair is recorded before it could have happened.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Approving a payment must not be the same act as paying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Allocations on a draft payment are an editable settlement plan and reduce no invoice balance. Approval authorises the plan; posting through the payables service is the separate mutation that creates ledger history.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approved but unposted payment has changed nothing in the books, so an approval cannot be mistaken for a disbursement.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made in error must be undoable as a recorded event.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Cancellation applies before posting; reversal after it, raising the opposite postings and restoring the bills the payment had settled, on a date the caller supplies.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reversal is a posting rather than a deletion, so the ledger shows both the payment and its withdrawal.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on hold or failing KYC must not be payable, however the payment was raised.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 flag and the KYC status are checked in the payables service before a payment is cut, and the vendor's withholding-tax code drives the deduction.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the check is in the service, an API caller or a bulk payout confirming through Module 18 hits it too, not only a screen user.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whom, for how long, and what has been received but not billed must all be answerable.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aging overall and per vendor, the sub-ledger against its control, the GR/IR balance, GR/IR aging by receipt and its line detail, cash requirements, spend analysis and procure-to-pay cycle time are served as entity-scoped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query starts from the entity, or traverses an entity-scoped parent, which is the read-side tenant boundary for these reports. The reconciliation demonstrates that the sub-ledger equals its control.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period must not be sealed over an unreconciled payables position.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blocking failure can still be forced past. That is audited as forced and is finance's flag rather than this module's, and it is recorded against Module 19.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commitment, not a posting.</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or inventory, Cr GR/IR clearing, at accepted value ex-tax.</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GR/IR clearing (+ Dr input VAT), Cr accounts payable.</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AP (settled) and Dr vendor advances (unsettled), Cr bank (net), Cr WHT payable (withheld).</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accounts payable, Cr vendor advances, on the later date.</w:t>
            </w:r>
          </w:p>
        </w:tc>
      </w:tr>
    </w:tbl>
    <w:p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Blocking</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Flagged, and postable with the variance allowed.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carry their own snapshots of description, unit, tax and price.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raises the GR/IR journal and, for stock lines, Module 24's sub-ledger.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link to order lines; unlinked lines follow the non-PO policy.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authorises the plan; posting creates the history.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advance reclassification correct.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23's.</w:t>
      </w:r>
    </w:p>
    <w:p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Commitments.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orders.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 off to approval.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vendor will see.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it, durably.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Retry a failure.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what arrived.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the GR/IR journal. CRITICAL.</w:t>
            </w:r>
          </w:p>
        </w:tc>
      </w:tr>
    </w:tbl>
    <w:p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check before capture.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 the three-way match.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AP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can be settled.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plan.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the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or an advance to bills.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Before, and after, posting.</w:t>
            </w:r>
          </w:p>
        </w:tc>
      </w:tr>
    </w:tbl>
    <w:p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Received not billed, and the reverse.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Forecast and speed.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payables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accounts, the period lock and the balance guard. Receives the AP and GR/IR checks this module supplies to the close.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over purchase orders, vendor invoices and vendor payments through the ladders Module 22 publishes.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 the hold and KYC gates this module enforces, the withholding code, and the catalogue the order lines snapshot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Hands over the draft order an award produced.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quantity and value from a stock-tracked receipt.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payout as a vendor payment through this module's payables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seed_procurement_demo builds a worked procure-to-pay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THE CLOSE NOW RUNS THESE CHECKS</w:t>
            </w:r>
          </w:p>
          <w:p w:rsidR="00A62A3E" w:rsidRDefault="00000000">
            <w:pPr>
              <w:spacing w:after="20"/>
              <w:ind w:left="86" w:hanging="86"/>
            </w:pPr>
            <w:r>
              <w:rPr>
                <w:sz w:val="16"/>
              </w:rPr>
              <w:t xml:space="preserve">• The AP and GR/IR reconciliations used to reach a close only when the caller passed them in, and no production caller ever did, so every close ran without them and could seal a period over an unreconciled payables position while reporting success.</w:t>
            </w:r>
          </w:p>
          <w:p w:rsidR="00A62A3E" w:rsidRDefault="00000000">
            <w:pPr>
              <w:spacing w:after="20"/>
              <w:ind w:left="86" w:hanging="86"/>
            </w:pPr>
            <w:r>
              <w:rPr>
                <w:sz w:val="16"/>
              </w:rPr>
              <w:t xml:space="preserve">• They are now registered with the close rather than passed to it (FR-013), which keeps the dependency running procurement to finance and means no caller has to remember them.</w:t>
            </w:r>
          </w:p>
          <w:p w:rsidR="00A62A3E" w:rsidRDefault="00000000">
            <w:pPr>
              <w:spacing w:after="20"/>
              <w:ind w:left="86" w:hanging="86"/>
            </w:pPr>
            <w:r>
              <w:rPr>
                <w:sz w:val="16"/>
              </w:rPr>
              <w:t xml:space="preserve">• What remains is finance's force flag, which can still override a blocking failure. It is audited as forced, and it is tracked against Module 19.</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 price variance outside tolerance is flagged but not blocking. The difference is isolated in the purchase price variance account rather than absorbed, which is ordinary practice, but nothing reports on that account, so it is visible only to somebody reading the ledger.</w:t>
            </w:r>
          </w:p>
          <w:p w:rsidR="00A62A3E" w:rsidRDefault="00000000">
            <w:pPr>
              <w:spacing w:after="20"/>
              <w:ind w:left="86" w:hanging="86"/>
            </w:pPr>
            <w:r>
              <w:rPr>
                <w:sz w:val="16"/>
              </w:rPr>
              <w:t xml:space="preserve">• Branch scoping is unfinished where operational ownership of a purchase document is branch-specific. Tracked against Modules 22 to 24.</w:t>
            </w:r>
          </w:p>
          <w:p w:rsidR="00A62A3E" w:rsidRDefault="00000000">
            <w:pPr>
              <w:spacing w:after="20"/>
              <w:ind w:left="86" w:hanging="86"/>
            </w:pPr>
            <w:r>
              <w:rPr>
                <w:sz w:val="16"/>
              </w:rPr>
              <w:t xml:space="preserve">• Duplicate control covers the reference; a genuine duplicate captured under a different reference is not caught.</w:t>
            </w:r>
          </w:p>
          <w:p w:rsidR="00A62A3E" w:rsidRDefault="00000000">
            <w:pPr>
              <w:spacing w:after="20"/>
              <w:ind w:left="86" w:hanging="86"/>
            </w:pPr>
            <w:r>
              <w:rPr>
                <w:sz w:val="16"/>
              </w:rPr>
              <w:t xml:space="preserve">• The non-PO invoice policy is explicit and per entity, and now defaults to refusing them: a bill with no order has nothing to match against, so approval would be its only control. An entity that turns it back on accepts that trade deliberately.</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23 carries 17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