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v2.3</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v2.77 | Module 12</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at 19a50b3, 12 September 2026, and docs/designs/Staff_Management.html, which is nine screens, seven drawers and seventy-nine collections. What version 2.4 changes was checked against the code at that baseline. The rest keeps the evidence it was written with, so a statement in sections 2 to 4 that M14 or this module is unbuilt describes the platform the specification was first written against.</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.manage,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 xml:space="preserve">The design brief this document was written from asked to assign staff to one or more branches. That is not the shape the platform has, and the multi-select it implies would be a control that silently does not work. What is true is more useful and this section is the whole of it, because every branch-aware requirement below rests on it.</w:t>
      </w:r>
    </w:p>
    <w:p>
      <w:pPr>
        <w:pStyle w:val="Heading2"/>
        <w:keepNext/>
        <w:spacing w:after="100" w:before="260"/>
      </w:pPr>
      <w:r>
        <w:rPr>
          <w:rFonts w:ascii="Calibri" w:cs="Calibri" w:eastAsia="Calibri" w:hAnsi="Calibri"/>
          <w:b/>
          <w:bCs/>
          <w:color w:val="1A4B8C"/>
          <w:sz w:val="25"/>
          <w:szCs w:val="25"/>
        </w:rPr>
        <w:t xml:space="preserve">6.1  One posting, several reaches</w:t>
      </w:r>
    </w:p>
    <w:p>
      <w:pPr>
        <w:spacing w:after="60" w:before="60"/>
      </w:pPr>
      <w:r>
        <w:rPr>
          <w:rFonts w:ascii="Calibri" w:cs="Calibri" w:eastAsia="Calibri" w:hAnsi="Calibri"/>
          <w:color w:val="3A4555"/>
          <w:sz w:val="21"/>
          <w:szCs w:val="21"/>
        </w:rPr>
        <w:t xml:space="preserve">A person has one posting, which is the branch they are based at, and it may be null, which means across the whole school. A person's reach is which branches they can actually work in, and it comes from their role grants, each of which may be pinned to a branch. The two are different facts and the platform answers them in different places.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 xml:space="preserve">The posting is therefore the default narrowing and never the authority. The module's own docstring puts it plainly: User.branch keeps its job as the caller's home posting and is no longer the authority on scope, because it cannot express Ikeja and Lekki but not Yaba, and a set of grants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 xml:space="preserve">The database was split in two to allow the same role at two branches, with a comment naming Storekeeper at Ikeja and Storekeeper at Lekki as the arrangement a single User.branch cannot express. The two write paths both check for a duplicate on tenant, user and role while ignoring branch, so the second grant is refused. Nothing has noticed because nothing has needed two branch-pinned grants of one role: the procurement and finance surfaces are held whole-tenant, and the modules that would surface it, M12 and M14, are both unbuilt.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Brightfield Schools wants Mr. Eze teaching Physics at Lekki on Monday to Wednesday and at Ikeja on Thursday and Friday. The registrar grants him Teacher at Lekki, which works, and then Teacher at Ikeja, which comes back "This user already has an active assignment for this role." Her three remaining options are all wrong. Grant him Teacher across the whole school, which also gives him Yaba, where he has never taught. Build a second role template called Teacher (Ikeja), which doubles the catalogue every time somebody crosses a site. Or give him a second account, which makes M14's clash detection wrong for him, because two accounts do not double-book and the grid will happily put him in two places at once on a Wednesday. FR-014 is a change to one duplicate check in a serializer and one in a view.</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 xml:space="preserve">Posted to is StaffProfile's own column, mirrored onto User.branch so that the identity layer's own narrowing keeps agreeing with it. One control, one branch or School-wide, never a multi-select.</w:t>
      </w:r>
    </w:p>
    <w:p>
      <w:pPr>
        <w:pStyle w:val="ListParagraph"/>
        <w:numPr>
          <w:ilvl w:val="0"/>
          <w:numId w:val="2"/>
        </w:numPr>
        <w:spacing w:after="30" w:before="30"/>
      </w:pPr>
      <w:r>
        <w:rPr>
          <w:rFonts w:ascii="Calibri" w:cs="Calibri" w:eastAsia="Calibri" w:hAnsi="Calibri"/>
          <w:color w:val="3A4555"/>
          <w:sz w:val="21"/>
          <w:szCs w:val="21"/>
        </w:rPr>
        <w:t xml:space="preserve">Works at is derived, never stored: the branches of the person's active grants, with the role that produces each. A whole-tenant grant reads as School-wide and means every branch.</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account, the invitation and the staff record in one transaction, and send the invitation by 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this school's staff, with the filters, counts and search a directory screen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somebody uses their invitation link and sets a password, their employment status moves from INVITED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Retrieve one person's record and edit it. Two audiences and two payloads.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Render what this person may do and where, on the staff profile, without this module owning any of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List, add, edit and remove a person's degrees and certifications.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 list, download and remove files held against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 POST /v1/i/me/staff/&lt;id&gt;/status/. SENSITIVE and school_admin only by default: terminating somebody is not a branch decision.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Set where a person is based, singly or in bulk, and never confuse it with what their roles reach.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branch or null. Null means across the whole school and is offered as an explicit choice, never as an empty value. (2) The branch reference is resolved through resolve_branch_reference, so an unknown, malformed or foreign branch collapses into one answer. (3) StaffProfile.branch and User.branch are written together, so the identity layer's fallback narrowing keeps agreeing with the record. (4) A posting change does NOT touch any role grant, and the response says so, because a bulk action that quietly re-pinned grants would change what people may do while claiming to change where they sit. (5) Moving somebody who holds teaching assignments at their old branch warns and names the classes. (6) The roster is a separate read, GET /v1/i/me/staff/roster/?branch=, and returns three labelled groups, each with a note: posted here, reaching here through a role, and school-wide. It keeps people who have left, marked on_roll false and drawn as finished, because it is the only screen that answers who was ever at a branch. Each row is the directory row. A reaching row also carries via_roles, naming each role that carries the person there and whether it is pinned to this branch or school-wide, because unpinning the first stops them reaching this branch while narrowing the second takes them off every other branch's roster as well. Posted here and school-wide are movable, the second because giving a base to somebody who has none is the same act as moving one; reaching here is not, and its change_it says to open the row and change the role. Everybody's reach is read in one query, so the roster costs the same however many staff it lists. (7) The bulk move refuses anybody in the selection who has resigned or been terminated, with 422 STAFF_HAS_LEFT naming each of them, and moves nobody. The single-record PATCH does not apply that check, so a leaver's posting can still be changed from their record. (8) That the grant written beside a new account follows the posting (FR-001) does not make a later posting change move a grant. The reach is chosen once, when the grant is written; moving somebody's base afterwards leaves every grant where it is, and a school that wants their reach to move changes the grant.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naming everybody selected who has left.</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Record that a person teaches a subject to a class this session, and designate a class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leave, record it on somebody's behalf, correct it, cancel it, and report what has been taken. The decision is the workflow engine's.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school.leave.manage for somebody else’s. PATCH and DELETE school.leave.manage.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the staff dataset to the import engine, which is otherwise finished.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 a session, which subject in which class has a teacher and which has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Declare pending_tenant_surface on the views a school needs before go-live, and on no others.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Give the same role, at the same reach, to everybody currently selected in the directory, and say who already had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Withdraw an invitation before it is accepted: the link stops working and the account is closed without ever having been signed into.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 POST /v1/i/me/staff/&lt;id&gt;/invitation/revoke/. SENSITIVE and school_admin only, the same key as the employment lifecycle, because this is a lifecycle action: it ends somebody's employment before it started.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One search across the school's people, for the command palette the design opens on Command-E from every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Bulk posting change.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school.teachers.manage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 xml:space="preserve">The three account keys are enforced: a caller holding school.teachers.manage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school.leave.manage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.manage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is specified, plus a reach derived from grants, and section 6 argues it is the right shape: a posting is where somebody is based, most people are based somewhere, and the two-branch case is genuinely a permissions fact. The alternative is a small join table. Decide before a school with six branches asks which of its teachers actually travel, because no screen can answer that today. M14's decision 20 is the same question from its side.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spacing w:after="60" w:before="60"/>
      </w:pPr>
      <w:r>
        <w:rPr>
          <w:rFonts w:ascii="Calibri" w:cs="Calibri" w:eastAsia="Calibri" w:hAnsi="Calibri"/>
          <w:color w:val="3A4555"/>
          <w:sz w:val="21"/>
          <w:szCs w:val="21"/>
        </w:rPr>
        <w:t>MRD v2.77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19a50b3</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One posting or school-wide, mirrored onto the account; reach derived from grants, including the same role at two branches. The branch roster reads three labelled groups, keeps people who have left as finished rows and names the role behind every reach. A bulk move refuses anybody who has left; the single-record edit does not. A role grant written beside a new account reaches the branch the person is posted to unless the caller pins it to another or asks for the whole school by name, and the staff import takes the same rule from the same choke point.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Whether somebody is free at a given hour is not evidenced, because no contract records hours.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2.4 is minor. The functional baseline is intact and so are its contracts in every other place: the same six models, the same two status vocabularies, the same posting-and-reach separation, the same routes, keys, refusal codes and audit actions. What changes is one rule, how far the grant written beside a new account reaches, and the one word that asks for the whole school deliberately.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v2.4</dc:title>
  <dc:creator>Un-named</dc:creator>
  <cp:lastModifiedBy>Un-named</cp:lastModifiedBy>
  <cp:revision>1</cp:revision>
  <dcterms:created xsi:type="dcterms:W3CDTF">2026-06-23T21:08:27.788Z</dcterms:created>
  <dcterms:modified xsi:type="dcterms:W3CDTF">2026-06-23T21:08:27.789Z</dcterms:modified>
  <cp:version>2.4</cp:version>
</cp:coreProperties>
</file>

<file path=docProps/custom.xml><?xml version="1.0" encoding="utf-8"?>
<Properties xmlns="http://schemas.openxmlformats.org/officeDocument/2006/custom-properties" xmlns:vt="http://schemas.openxmlformats.org/officeDocument/2006/docPropsVTypes"/>
</file>