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2.45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2.45</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29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the built finance abstraction layer and its 157-test run, and the full vs_finance, vs_procurement, schools.vs_schools, schools.vs_academics and schools.vs_onboarding suites (29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468</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v2.45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The finance abstraction layer is built, and what it changes underneath</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carries no URLs.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16</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25</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22</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The academic structure module exists and is mounted, so the required checklist step it was blocking now has a backend to check against. Versions 2.9 to 2.36 carried the older claim after it had stopped being true.</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The academic half of this is now built and the student half is not. A fee structure can be tied to a real session and term, and a cohort can be billed from a list of students, both through the finance abstraction layer. A term that fee structures still bill cannot be deleted. What remains is the student side: there is no student or guardian model, so a child's billing record must still be created with a name supplied by the caller, and class-based billing waits on Module 11.</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Integration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v2.45 Documentation Delta</w:t>
      </w:r>
    </w:p>
    <w:p w14:paraId="4C4A5E5A" w14:textId="77777777" w:rsidR="00472341" w:rsidRDefault="00000000">
      <w:pPr>
        <w:spacing w:after="100" w:line="240" w:lineRule="auto" w:before="0"/>
      </w:pPr>
      <w:r>
        <w:rPr>
          <w:rFonts w:ascii="Aptos Narrow" w:hAnsi="Aptos Narrow"/>
          <w:b w:val="0"/>
          <w:color w:val="000000"/>
          <w:sz w:val="18"/>
        </w:rPr>
        <w:t>This revision records the finance abstraction layer: the typed boundary school modules use to reach billing, payments and procurement without touching the finance schema. It is built, tested, and has one caller. It changes no endpoint and no module status, so what follows is the ownership, dependency and gap movement underneath.</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v2.45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School books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Rerouted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School creation still provisions a set of books, and now asks the abstraction layer for them instead of calling finance directly. Same outcome, one translation point. A tenant that somehow holds two candidate sets of books is now refused rather than silently given the older one.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Billing periods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Linked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A fee structure can be tied to a real academic session and term by foreign key, so a term in use for billing cannot be deleted and an invoice period label is read rather than remembered. Student-level billing still waits on Module 11.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Parent payment bridge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Built, shut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Module 28's payment bridge exists and refuses every call, because no guardian-to-child link exists for it to check. It fails closed and says so rather than answering no on a relationship nobody has recorded.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payout routing now has an automatic platform fallback and a release check that names any uncovered entity.</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and Staff Management before dependent modules.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v2.44</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v2.44</dc:title>
  <dc:subject>Bulk entitlement scheduling denial and ownership protection</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2.44</cp:version>
</cp:coreProperties>
</file>