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2.65</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2.64</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5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change handing a school ownership of its own approval configuration. Provisioning no longer creates approver roles or shared approval steps; a tenant ladder names approver groups it composes, and an unconfigured document is refused with an audited confirmation rather than approved (5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479</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v2.65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School-owned approval rules, with nothing seeded that cannot be removed</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18</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Commercial lifecycle controls,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and both emails are queued after the row they carry commits rather than from inside its transaction. Invitations name the inviter and tenant workspace and explain their seven-day, one-time link. Password-reset mail now names the account and workspace, distinguishes self-service from an administrator request, and reports the exact expiry from the reset row instead of a hard-coded duration. Account creation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60" w:before="0" w:line="240" w:lineRule="auto"/>
            </w:pPr>
            <w:r>
              <w:rPr>
                <w:rFonts w:ascii="Aptos Narrow" w:hAnsi="Aptos Narrow"/>
                <w:b w:val="0"/>
                <w:color w:val="000000"/>
                <w:sz w:val="16"/>
              </w:rPr>
              <w:t>▸  Tenant-composed approver groups, with no role provisioned to fill them</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val="0"/>
                <w:color w:val="000000"/>
                <w:sz w:val="16"/>
              </w:rPr>
              <w:t>NEEDS ATTENTION</w:t>
              <w:br/>
              <w:t>• An approval route with no steps is refused rather than treated as approval. A tenant that has not built its ladder resolves to the shared platform row, which carries no steps, and submission raises a named refusal that the submitter may confirm past. The confirmation is recorded against whoever gives it, so an unreviewed post is a decision somebody made rather than a silence.</w:t>
              <w:br/>
              <w:t>• Continue-without-approval remains available only where a document handler permits it. Payouts forbid it; permitted document types still rely on audit rather than a second reviewer.</w:t>
              <w:b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issuer, entity, or tenant branding and use one polished, email-client-safe layout.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176 tests. Documented by M12 FRD v2.1 and built from the Staff Management design of 30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Two of the ten capabilities above are not evidenced, and are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That is recorded rather than worked around: no second organization structure was built, which is what the previous revision asked for. And availability indicators: leave is recorded and approved, and nothing states whether somebody is free at a given hour, because no contract records hours and a half-built answer would be read as a real one.</w:t>
              <w:b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b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now presents structured order, delivery, payment, attachment, note, and buyer-contact details.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0" w:after="60" w:line="240" w:lineRule="auto"/>
      </w:pPr>
      <w:r>
        <w:rPr>
          <w:rFonts w:ascii="Aptos Narrow" w:hAnsi="Aptos Narrow"/>
          <w:b/>
          <w:color w:val="355B9D"/>
          <w:sz w:val="26"/>
        </w:rPr>
        <w:t>5. v2.65 Capability Delta</w:t>
      </w:r>
    </w:p>
    <w:p w14:paraId="4C4A5E5A" w14:textId="77777777" w:rsidR="00472341" w:rsidRDefault="00000000">
      <w:pPr>
        <w:spacing w:after="60" w:line="240" w:lineRule="auto" w:before="0"/>
      </w:pPr>
      <w:r>
        <w:rPr>
          <w:rFonts w:ascii="Aptos Narrow" w:hAnsi="Aptos Narrow"/>
          <w:b w:val="0"/>
          <w:color w:val="000000"/>
          <w:sz w:val="18"/>
        </w:rPr>
        <w:t>This revision records one module arriving and two others changing because of it. Module 12 moves from Planned to Partial: eight of its ten capabilities are evidenced, and the two that are not are named rather than counted. Module 13 loses the assignment layer from its gaps, because Module 12 now owns it. Module 3 gains one, because Module 12 established by trying that a school's people cannot hold an organogram seat. No capability entry is added or removed; what changes is what the platform can evidence.</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FFFFFF"/>
                <w:sz w:val="16"/>
              </w:rPr>
              <w:t>v2.65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The school staff record</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Built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Six models and twenty-two endpoints under schools.vs_staff. Employment status and the account status stay two facts: every transition calls the identity service rather than writing User.status, so a security lockout is never rendered as a suspension. 176 tests.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Class-subject-teacher assignment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Moved and built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M13 withdrew the teacher half and recorded it as waiting for M12. It is a TeachingAssignment carrying a part, lead or assistant, with at most one lead per pairing, and SchoolClass.class_teacher now points at the staff record rather than at the account.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Leave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Applied for and approved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On the existing workflow engine, under an approver group the school composes from its own people, roles or seats. Per school, with no platform fallback, because a stage naming a group cannot live on a shared template. The group is created empty, so a request filed before anybody is nominated parks rather than being granted.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Payroll linkage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Closed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EmployeeSalary.employee is populated at last, by account id rather than by staff record, because the finance engine is domain-neutral and may not resolve one. A roster row keyed on a typed name was two employees for one marriage.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Department, position and manager</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Not evidenced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The organogram meant to carry it is one platform-global tree that refuses non-platform users, so a school has no reporting line. Recorded rather than worked around: no second organization structure was built.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Staff availability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Not evidenced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Leave is recorded and decided; whether somebody is free at a given hour is not answered, because no contract records hours and a half-built answer would be read as a real one.</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v2.64</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v2.64</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2.64</cp:version>
</cp:coreProperties>
</file>