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8: Notifications &amp; Delivery</w:t>
              <w:br/>
              <w:t>XVision Systems | Code-aligned functional baseline</w:t>
              <w:br/>
              <w:t>Prepared by: CodeX Team     Version: 1.9</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1.9</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4 September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Commit e881a6b plus the procurement vendor email refinements, delivery-only RFQ secrets, migration 0017, and passing Module 8 and procurement suites under review (4 September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v2.63 | Module 8</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vs_config, vs_health, vs_procurement, schools/vs_onboarding,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8 is the platform's one way of telling somebody something happened. A domain module raises a named event with a context; this module decides which channels may carry it, renders the message, writes the record, queues the email, and keeps the outcome. Standard email uses one tenant-aware layout. Invitation, password-reset, onboarding, and all seven procurement vendor messages now use purpose-specific copy. The procurement family covers an attached purchase order and the RFQ invitation, verification code, reminder, submission receipt, amendment, and deadline extension. The signed RFQ link and verification code are deliberate one-time-secret exceptions: history stores inert markers and only the delivery worker sees the raw values.</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One shared, email-client-safe layout that composes the visual from the message text, resolves tenant-aware sender branding at delivery, and allows a per-template override to replace it.</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EFF2AA0" w14:textId="77777777" w:rsidR="00A62A3E" w:rsidRDefault="00000000">
            <w:pPr>
              <w:spacing w:after="0" w:before="0" w:line="240" w:lineRule="auto"/>
              <w:jc w:val="left"/>
            </w:pPr>
            <w:r>
              <w:rPr>
                <w:rFonts w:ascii="Aptos Narrow" w:hAnsi="Aptos Narrow"/>
                <w:b w:val="0"/>
                <w:color w:val="000000"/>
                <w:sz w:val="17"/>
              </w:rPr>
              <w:t>In-app records written immediately, email queued through Celery with retries and terminal outcomes, including transactional operational alarms.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and a tenant's overrides.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and so is ownership. A record is stamped with the recipient's own tenant, because that is the tenant whose inbox shows it and whose delivery history returns it; the tenant the event is about is kept separately as its origin. The two are the same party for most events and part company the moment one tenant's activity is reported to another's staff, so a recipient with no school is a first-class target and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 The history grant reaches only the rows its holder's tenant owns, which is what keeps a message addressed to platform staff out of a school's log even when the school's own activity is what raised it.</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Tenant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 channel on or off for their own tenant, per event.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inside their own tenant only</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 rows their own tenant owns</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E45DCC8" w14:textId="77777777" w:rsidR="00A62A3E" w:rsidRDefault="00000000">
            <w:pPr>
              <w:spacing w:after="0" w:before="0" w:line="240" w:lineRule="auto"/>
              <w:jc w:val="left"/>
            </w:pPr>
            <w:r>
              <w:rPr>
                <w:rFonts w:ascii="Aptos Narrow" w:hAnsi="Aptos Narrow"/>
                <w:b w:val="0"/>
                <w:color w:val="000000"/>
                <w:sz w:val="17"/>
              </w:rPr>
              <w:t>Raise registered events and dispatch them. Module 30 resolves active platform.health.manage holders for a firing Health alert.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70444BF" w14:textId="77777777" w:rsidR="00A62A3E" w:rsidRDefault="00000000">
            <w:pPr>
              <w:spacing w:after="0" w:before="0" w:line="240" w:lineRule="auto"/>
              <w:jc w:val="left"/>
            </w:pPr>
            <w:r>
              <w:rPr>
                <w:rFonts w:ascii="Aptos Narrow" w:hAnsi="Aptos Narrow"/>
                <w:b w:val="0"/>
                <w:color w:val="000000"/>
                <w:sz w:val="17"/>
              </w:rPr>
              <w:t>Events are seeded from one registry and resolved by key at dispatch. An unknown or inactive key raises UnknownEventTypeError rather than sending anything. Each entry declares the channels it supports, its default, and whether it is transactional. health.alert_fired is registered with email and in-app templates.</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C45AE38" w14:textId="77777777" w:rsidR="00A62A3E" w:rsidRDefault="00000000">
            <w:pPr>
              <w:spacing w:after="0" w:before="0" w:line="240" w:lineRule="auto"/>
              <w:jc w:val="left"/>
            </w:pPr>
            <w:r>
              <w:rPr>
                <w:rFonts w:ascii="Aptos Narrow" w:hAnsi="Aptos Narrow"/>
                <w:b w:val="0"/>
                <w:color w:val="000000"/>
                <w:sz w:val="17"/>
              </w:rPr>
              <w:t>An unregistered key is refused. An event marked inactive dispatches on no channel regardless of any tenant setting. The settings matrix and the catalogue endpoint both list exactly the active registry. Template seeding materializes both health.alert_fired channel templates.</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tenant row over a platform row over the event's own default, in one query for the whole matrix. Recipients are grouped by the tenant that owns their records and each group resolves separately, so a dispatch that crosses a boundary asks each side its own preference. The effective value and the layer that produced it are both returned, so the console can show provenance rather than an unexplained toggle.</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A tenant that mutes a channel silences it for its own people and for nobody else's. Building the matrix costs two queries regardless of event count.</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B3E471" w14:textId="77777777" w:rsidR="00A62A3E" w:rsidRDefault="00000000">
            <w:pPr>
              <w:spacing w:after="0" w:before="0" w:line="240" w:lineRule="auto"/>
              <w:jc w:val="left"/>
            </w:pPr>
            <w:r>
              <w:rPr>
                <w:rFonts w:ascii="Aptos Narrow" w:hAnsi="Aptos Narrow"/>
                <w:b w:val="0"/>
                <w:color w:val="000000"/>
                <w:sz w:val="17"/>
              </w:rPr>
              <w:t>A password reset, invitation, or operational alarm that a tenant preference can suppress can lock somebody out or leave an outage unattended.</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An event marked transactional bypasses the settings matrix entirely and dispatches on its supported channels. The platform kill switch still applies. health.alert_fired is transactional so both operator destinations remain mandatory.</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Account invitation and reset tokens, signed vendor RFQ links, and vendor verification codes use inert markers in the rendered Notification row. The delivery worker receives their raw values separately and substitutes them in memory immediately before SMTP. Standard HTML removes a duplicated visible action URL when a button and fallback link already carry it.</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Tests prove each one-time value is absent from stored subject, body, HTML, and metadata while SMTP receives the working value. The procurement integration test proves both the signed RFQ token and ten-minute verification code follow that delivery-only path.</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DFD1E2D" w14:textId="77777777" w:rsidR="00A62A3E" w:rsidRDefault="00000000">
            <w:pPr>
              <w:spacing w:after="0" w:before="0" w:line="240" w:lineRule="auto"/>
              <w:jc w:val="left"/>
            </w:pPr>
            <w:r>
              <w:rPr>
                <w:rFonts w:ascii="Aptos Narrow" w:hAnsi="Aptos Narrow"/>
                <w:b w:val="0"/>
                <w:color w:val="000000"/>
                <w:sz w:val="17"/>
              </w:rPr>
              <w:t>A template carries a flag saying who maintains its markup. While it is false the markup is regenerated from the shared layout on every save; the first hand edit claims it, and clearing the flag restores the standard design. Standard markup carries domain-neutral brand placeholders. Migrations 0012 through 0016 refreshed the shared design and earlier email families. Migration 0017 refines all seven standard procurement vendor email rows. Every migration filters html_is_custom=false.</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9CE07A6" w14:textId="77777777" w:rsidR="00A62A3E" w:rsidRDefault="00000000">
            <w:pPr>
              <w:spacing w:after="0" w:before="0" w:line="240" w:lineRule="auto"/>
              <w:jc w:val="left"/>
            </w:pPr>
            <w:r>
              <w:rPr>
                <w:rFonts w:ascii="Aptos Narrow" w:hAnsi="Aptos Narrow"/>
                <w:b w:val="0"/>
                <w:color w:val="000000"/>
                <w:sz w:val="17"/>
              </w:rPr>
              <w:t>Changing a standard template changes its markup; changing a hand-edited one does not. Saving regenerated standard markup is not treated as a hand edit. Every design migration changes only html_is_custom=false. A customized account, onboarding, or procurement vendor template keeps its subject, body, action, and HTML verbatim.</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HTML path renders with escaping on: the markup is trusted because staff wrote it, the values substituted into it are not. Subject and plain-text bodies render with escaping off, because escaping there would put entities in front of a reader.</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A context value containing a script tag appears escaped in the delivered HTML and is not executable. This holds for hand-written markup as well, because the rule is in the render rather than in the layout.</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BFE452" w14:textId="77777777" w:rsidR="00A62A3E" w:rsidRDefault="00000000">
            <w:pPr>
              <w:spacing w:after="0" w:before="0" w:line="240" w:lineRule="auto"/>
              <w:jc w:val="left"/>
            </w:pPr>
            <w:r>
              <w:rPr>
                <w:rFonts w:ascii="Aptos Narrow" w:hAnsi="Aptos Narrow"/>
                <w:b w:val="0"/>
                <w:color w:val="000000"/>
                <w:sz w:val="17"/>
              </w:rPr>
              <w:t>Preview renders through the same path dispatch uses and needs no payload: sample values are generated from the template's placeholders. Exact procurement samples cover order and quotation numbers, request title, deadline, submission time, delivery and payment terms, buyer details, the verification lifetime, amendment version and response requirement. Preview accepts unsaved editor content and returns the markup alongside the rendered copy.</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2ACDF9" w14:textId="77777777" w:rsidR="00A62A3E" w:rsidRDefault="00000000">
            <w:pPr>
              <w:spacing w:after="0" w:before="0" w:line="240" w:lineRule="auto"/>
              <w:jc w:val="left"/>
            </w:pPr>
            <w:r>
              <w:rPr>
                <w:rFonts w:ascii="Aptos Narrow" w:hAnsi="Aptos Narrow"/>
                <w:b w:val="0"/>
                <w:color w:val="000000"/>
                <w:sz w:val="17"/>
              </w:rPr>
              <w:t>A preview of any active template returns a complete HTML document and writes nothing. Supplying context overrides generated samples for those keys only. Every standard procurement vendor template renders without unresolved variables, including both amendment branches and an optional purchase-order note or buyer email.</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The feed is ordered unread first, then newest first within each group. The read-state filter narrows to one group for the console's tabs, and the unread count drives the badge.</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An unfiltered feed returns unread records before read ones. The order is covered by the existing recipient, channel, read-state and time index.</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while in-app is immediately SENT. Health alert rows carry internal alert and incident correlation metadata. For one-time credentials, the record holds an inert marker and the delivery task receives a transient replacement that is not written back.</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rows the reader's tenant owns,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FR-013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37B71324" w14:textId="77777777" w:rsidR="00A62A3E" w:rsidRDefault="00000000">
      <w:pPr>
        <w:pStyle w:val="Heading2"/>
        <w:keepNext/>
        <w:pBdr>
          <w:bottom w:val="single" w:sz="8" w:space="5" w:color="355B9D"/>
        </w:pBdr>
      </w:pPr>
      <w:r>
        <w:t>FR-014 Give Each Record to the Tenant That Reads It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FR-014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record has to belong to somebody, and the only tenant that can safely own it is the one whose person will read it. A support ticket is the first event where the tenant an event is about and the tenant that reads it are different parties, and one column cannot answer both questions at once.</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Dispatch stamps the recipient's own tenant as the owner and records the tenant the event is about separately as its origin. Recipients are grouped by owner before any record is built, so one send that crosses the boundary writes each side's rows under its own tenant. A recipient with no account of their own - an address a document is emailed to - keeps the originating tenant, because that is the log the person chasing the delivery reads. The origin is internal: no serializer returns it and no filter accepts it.</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ticket notification addressed to platform triage staff appears in that staff member's own feed and is absent from the raising tenant's delivery history by list, by identifier and by search. A pre-flight failure carries the same ownership as a delivered record. A migration moved the records already written and reverses cleanly.</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The origin is recorded but not yet readable anywhere. A platform view of everything one tenant's activity generated is a separate surface rather than a filter on this log, because a filter that crosses ownership is the defect this requirement closes.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FR-015 Deliver a Health Alarm on Both Operator Channels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05662A91" w14:textId="77777777" w:rsidR="00A62A3E" w:rsidRDefault="00000000">
            <w:pPr>
              <w:spacing w:after="0" w:before="0" w:line="240" w:lineRule="auto"/>
              <w:jc w:val="left"/>
            </w:pPr>
            <w:r>
              <w:rPr>
                <w:rFonts w:ascii="Aptos Narrow" w:hAnsi="Aptos Narrow"/>
                <w:b/>
                <w:color w:val="000000"/>
                <w:sz w:val="18"/>
              </w:rPr>
              <w:t>FR-015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7"/>
              </w:rPr>
              <w:t>When a Health rule proves a sustained breach and opens an incident, the operators authorized to manage that incident must be told through both email and the in-app feed.</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Module 30 resolves active users holding platform.health.manage in the platform tenant and raises transactional health.alert_fired. Dispatch writes one row per operator per channel and stores internal alert and incident correlation metadata. A routing, recipient, event, or template failure does not roll back the incident; Alertmanager records the delivery problem on its timeline.</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One firing alert for one eligible operator creates exactly one SENT in-app record and one PENDING email record. The email task is queued only after commit and uses the configured retry lifecycle. Re-evaluation of the same open alert creates no duplicate dispatch.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Email still depends on the broker, worker, SMTP provider, and seeded event templates. In-app delivery is the immediate independent record. SENT email means provider acceptance, not confirmed inbox arrival.</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Recipients are grouped by the tenant that owns their records, and channels are resolved for each group.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Owner row, then platform row, then the event default, once per owning tenant. Transactional events skip this.</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Normal values are substituted. A one-time credential remains an inert marker in the rendered subject, body and HTML.</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Every row carries its owning tenant and the originating one, and stored content contains no raw one-time credential.</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current shared layout whenever the message changes, and the displayed brand resolves at delivery.</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Standard markup retains a dynamic email_brand placeholder. Unique per event and channel.</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plus a platform row with no tenant. Constrained so each layer holds at most one.</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Owned by the recipient's tenant, with the tenant the event was about kept beside it as the origin. One-time credentials are represented by inert markers and are never persisted in subject, body, HTML or metadata. The origin and the metadata are internal and are exposed by no serializer.</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and history are scoped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Mark read what the visited destination covers.</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scope, and overrides by event and channel.</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for the rows the caller's tenant owns. At least one filter is required.</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dispatch provides the tenant workspace and inviter display name. Password-reset dispatch provides the account address, tenant workspace, origin, requester and exact reset-row expiry. Earlier context keys remain for customized template compatibility. Invitation and reset callers pass a stored marker plus the raw one-time replacement for delivery only.</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so they change without a deployment.</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30, System Health &amp; Monitoring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health.alert_fired only after a sustained, service-scoped breach, resolves platform.health.manage recipients, and supplies alert and incident correlation metadata.</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Records every Celery job and applies the default importance policy before raising task.completed or task.failed.</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9, School Onboarding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six onboarding events. It supplies the School name and available logo, lifecycle details, readable local review and activation timestamps, the readable expiry deadline, and separate ageing and suspended lists. Existing machine-readable date and timestamp keys remain available for customized templates.</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22 and 23, Procurement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 seven transactional vendor emails. RFQ callers pass signed links and verification codes as delivery-only replacements; purchase-order delivery supplies the attached PDF and order details. Existing context keys remain available to customized templates.</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A MESSAGE NOW BELONGS TO THE PERSON WHO READS IT</w:t>
            </w:r>
          </w:p>
          <w:p w14:paraId="7DFD61F2" w14:textId="77777777" w:rsidR="00A62A3E" w:rsidRDefault="00000000">
            <w:pPr>
              <w:keepNext/>
              <w:spacing w:after="40"/>
            </w:pPr>
            <w:r>
              <w:rPr>
                <w:b/>
                <w:color w:val="94670A"/>
                <w:sz w:val="17"/>
              </w:rPr>
              <w:t>• A record was stamped with the tenant the event was about rather than the tenant of the person receiving it. A support ticket raised by a school and dispatched to platform triage staff produced records owned by the school, so the staff member's own feed filtered them out and the in-app channel was dead for every ticket event.</w:t>
            </w:r>
          </w:p>
          <w:p w14:paraId="7DFD61F2" w14:textId="77777777" w:rsidR="00A62A3E" w:rsidRDefault="00000000">
            <w:pPr>
              <w:keepNext/>
              <w:spacing w:after="40"/>
            </w:pPr>
            <w:r>
              <w:rPr>
                <w:b/>
                <w:color w:val="94670A"/>
                <w:sz w:val="17"/>
              </w:rPr>
              <w:t>• Those same rows were returned by that school's delivery history, so an administrator holding the history key could read the subject and body of a message addressed to platform staff, including the text of an internal ticket note. Ownership now follows the recipient, the originating tenant is recorded separately and exposed nowhere, and a migration moved the records already written.</w:t>
            </w:r>
          </w:p>
        </w:tc>
      </w:tr>
    </w:tbl>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DESIGN IS NO LONGER OUT OF REACH</w:t>
            </w:r>
          </w:p>
          <w:p w14:paraId="7DFD61F2" w14:textId="77777777" w:rsidR="00A62A3E" w:rsidRDefault="00000000">
            <w:pPr>
              <w:keepNext/>
              <w:spacing w:after="40"/>
            </w:pPr>
            <w:r>
              <w:rPr>
                <w:b/>
                <w:color w:val="94670A"/>
                <w:sz w:val="17"/>
              </w:rPr>
              <w:t>• Five templates carried a hand-written HTML document each and the rest sent plain text, so most mail from the platform was unformatted and none of the design could be read or changed outside the code.</w:t>
            </w:r>
          </w:p>
          <w:p w14:paraId="7DFD61F2" w14:textId="77777777" w:rsidR="00A62A3E" w:rsidRDefault="00000000">
            <w:pPr>
              <w:keepNext/>
              <w:spacing w:after="40"/>
            </w:pPr>
            <w:r>
              <w:rPr>
                <w:b/>
                <w:color w:val="94670A"/>
                <w:sz w:val="17"/>
              </w:rPr>
              <w:t>• Values substituted into markup were not escaped, so a name or a reason carrying HTML would have reached the recipient as markup.</w:t>
            </w:r>
          </w:p>
          <w:p w14:paraId="7DFD61F2" w14:textId="77777777" w:rsidR="00A62A3E" w:rsidRDefault="00000000">
            <w:pPr>
              <w:keepNext/>
              <w:spacing w:after="40"/>
            </w:pPr>
            <w:r>
              <w:rPr>
                <w:b/>
                <w:color w:val="94670A"/>
                <w:sz w:val="17"/>
              </w:rPr>
              <w:t>• Notification search never reached the server, so page counts described the unsearched list, and records sharing a dispatch timestamp could repeat or vanish between pages.</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br/>
              <w:t>• The account-lock email definition exists, but user.account_locked remains inactive because the lockout flow raises no notification event. The clearer template is ready for a future activation; this revision does not claim delivery.</w:t>
              <w:br/>
              <w:t>• A hand-edited template stops inheriting design changes until it is reset to the standard layout.</w:t>
              <w:br/>
              <w:t>• Delivery preferences are per tenant.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00" w:before="0" w:line="240" w:lineRule="auto"/>
      </w:pPr>
      <w:r>
        <w:rPr>
          <w:rFonts w:ascii="Aptos Narrow" w:hAnsi="Aptos Narrow"/>
          <w:b w:val="0"/>
          <w:color w:val="000000"/>
          <w:sz w:val="18"/>
        </w:rPr>
        <w:t>Module 8 carries 22 capability entries in MRD v2.63. Each maps to the requirements below. Refining the seven procurement templates and protecting their two RFQ credentials strengthens the existing template, preview, secret-safe rendering, and delivery capabilities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FR-003, FR-010, FR-015</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 FR-015</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8591E5A" w14:textId="77777777" w:rsidR="00A62A3E" w:rsidRDefault="00000000">
            <w:pPr>
              <w:spacing w:after="0" w:before="0" w:line="240" w:lineRule="auto"/>
              <w:jc w:val="left"/>
            </w:pPr>
            <w:r>
              <w:rPr>
                <w:rFonts w:ascii="Aptos Narrow" w:hAnsi="Aptos Narrow"/>
                <w:b w:val="0"/>
                <w:color w:val="000000"/>
                <w:sz w:val="16"/>
              </w:rPr>
              <w:t>FR-001, FR-015</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FR-005, FR-006</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CC14DAA" w14:textId="77777777" w:rsidR="00A62A3E" w:rsidRDefault="00000000">
            <w:pPr>
              <w:spacing w:after="0" w:before="0" w:line="240" w:lineRule="auto"/>
              <w:jc w:val="left"/>
            </w:pPr>
            <w:r>
              <w:rPr>
                <w:rFonts w:ascii="Aptos Narrow" w:hAnsi="Aptos Narrow"/>
                <w:b w:val="0"/>
                <w:color w:val="000000"/>
                <w:sz w:val="16"/>
              </w:rPr>
              <w:t>FR-012, FR-014, FR-015</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tasks and retries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FR-012, FR-015</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Recipient-owned notification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seven standard procurement vendor templates and closes a credential leak in delivery history. Purchase-order mail identifies its PDF, key terms, optional buyer note, and contact. RFQ mail names the request, deadline, available action, submission revision, amendment requirement, or new deadline. The quotation receipt explicitly separates receipt from acceptance or award. Signed RFQ links and verification codes now enter Notification history only as inert markers and are substituted by the worker immediately before SMTP. Migration 0017 updates only platform-maintained rows and preserves staff-authored content. Updates scope, FR-005, FR-006, FR-008, procurement dependencies, and MRD traceability. Module 8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six standard onboarding lifecycle email templates. Progress and readiness mail names the completed work and the correct next step. The ready message now tells a School to submit a go-live request for platform review instead of telling an administrator to activate it. Review mail separates approved and rejected outcomes and includes the reason when rejected. Activation states when the workspace became live and limits access claims to enabled areas permitted by roles. Expiry warning mail shows a readable deadline, correct singular or plural day wording, and the suspension and sign-in consequence. The platform report separates ageing Schools from those recently suspended. Module 9 retains the existing ISO context values and adds local display timestamps and a display date; preview supplies exact samples for every new variable. Migration 0016 updates only platform-maintained rows and preserves staff-authored content. Updates scope, FR-006, FR-008, the Module 9 dependency, and MRD traceability. Module 8 remains Backend Complete and In use Complete with 22 capabilities. The complete 139-test Module 8 suite and 171-test Module 9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password-reset and account-lock email definitions. A self-service reset says a request was received; an administrator reset names the requester without claiming the password changed. Both name the account and tenant workspace, show the exact expiry supplied from the reset row, explain one-time use and replacement by a newer request, and keep the secure URL in plain text while standard HTML presents one action. The account-lock definition now names the workspace and lock time and gives recovery and unexpected-activity guidance. Its event remains inactive because no lockout flow dispatches it. Migration 0014 updates only platform-maintained rows and preserves staff-authored content. Updates scope, FR-005, FR-006, the Module 3 dependency, Needs Attention and MRD traceability. Module 8 remains Backend Complete and In use Complete with 22 capabilities. The complete 119-test Module 8 suite and 342-test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user.invited as the first purpose-specific pass on the shared email design. The standard subject and body now name the inviter and tenant workspace, show the recipient and seven-day expiry as structured details, state that the link is one-time, and label the action Set up your account. The secure URL remains in the plain-text body; standard HTML suppresses that duplicate line and renders the action button and fallback link. Migration 0013 updates only the platform-maintained invitation and preserves every staff-authored field. Updates scope, FR-005, FR-006, the Module 3 dependency, and MRD traceability. Module 8 remains Backend Complete and In use Complete with 22 capabilities. The complete 114-test Module 8 suite and 341-test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Refreshes the shared standard HTML email design and makes its displayed sender tenant-aware. Standard markup now carries email_brand, resolved at delivery from issuer, entity, or tenant context with CodeX Vision as fallback. The layout uses one 640px table-based card with stronger hierarchy, structured details, a clear action, a visible fallback link, and a restrained delivery footer. Migration 0012 regenerates existing platform-maintained rows and preserves html_is_custom rows exactly. Updates scope, FR-006, lifecycle, data contract and MRD traceability. Module 8 remains Backend Complete and In use Complete with 22 capabilities. The complete 110-test Module 8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29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Registers health.alert_fired as a transactional Module 30 event with email and in-app templates. A sustained Health breach resolves active platform operators through platform.health.manage and uses the shared dispatcher, so in-app delivery is immediately SENT while email enters the existing PENDING, retry, SENT or FAILED lifecycle. Notification metadata correlates each row to its alert and incident without exposing those internal identifiers through the feed serializer. Adds FR-015 and updates the event, transactional, delivery-history, dependency and traceability contracts. Module 8 remains Backend Complete and Integration Complete with 22 capability entries. Backend evidence and passing 107-test Module 8 plus 37-test Module 30 runs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26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every notification record to the tenant that reads it. A record was stamped with the tenant the event was about, which for a support ticket dispatched to platform triage staff was the school: the staff member's own feed filtered those rows out, and the school's delivery history returned them, so an administrator holding the history key could read the body of a message addressed to platform staff, including an internal ticket note. Ownership now follows the recipient, the originating tenant is recorded separately and exposed by no serializer or filter, recipients are grouped by owner so each side's own channel settings decide what reaches it, and a reversible migration moved the records already written. Adds FR-014, updates FR-002 and FR-012, the dispatch workflow, the Notification data contract, the history route and MRD traceability. Module 8 remains Backend Complete and Integration Complete and moves from 21 to 22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25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M08 Notifications and Delivery Functional Requirements Document v1.9</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1.9</cp:version>
  <dc:title>XVS M08 Notifications and Delivery Functional Requirements Document v1.9</dc:title>
</cp:coreProperties>
</file>