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1.8</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1.8</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4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Commit e881a6b plus the purpose-specific purchase-order vendor email and migration 0017 under review (4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v2.63 | Module 23</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23 is the half of procure-to-pay that touches the books. It commits the entity with a purchase order, sends that order to the vendor with a durable delivery record, recognises cost when goods arrive, matches the supplier's bill, creates the payable, and settles it. The purchase-order email now presents its attachment, order and delivery terms, optional buyer note, and contact as one purpose-specific message.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and cycle analytics.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procurement.report.view</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commitment to a supplier must be an explicit, approvable act with server-derived totals.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Emailing a purchase order must be durable and retryable rather than fire-and-forget.</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7"/>
              </w:rPr>
              <w:t>The order email is scheduled, rendered and delivered through a durable path with a preview endpoint, a per-delivery record, and an explicit retry. The message names the order, order date, expected delivery, total, address, payment terms, attached PDF, optional buyer note, and buyer contact. It has no button because this flow supplies a document rather than a vendor portal action.</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7"/>
              </w:rPr>
              <w:t>A failed send is visible and retryable without re-issuing the order. A standard render contains the PDF instruction and omits the note or email cleanly when the buyer supplied neither. Migration 0017 updates only platform-maintained templates.</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Cost belongs in the period the goods arrived, not the period the bill turned up.</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supplier's bill must be checked against what was ordered and what actually arrived before it becomes a payable.</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so the variance is isolated in the ledger but surfaced on no screen.</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pPr>
            <w:r>
              <w:rPr>
                <w:color w:val="000000"/>
                <w:sz w:val="17"/>
              </w:rPr>
              <w:t>The same supplier invoice must not be capturable twice, and a retried submission must not create a second one.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Posting a matched bill must clear what the receipt parked and recognise what is owed.</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Paying more than is currently billed must not read as the supplier owing the entity money.</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Money already paid must be usable against a bill that arrives afterwards.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Approving a payment must not be the same act as paying it.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None.</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payment made in error must be undoable as a recorded event.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spacing w:after="0"/>
            </w:pPr>
            <w:r>
              <w:rPr>
                <w:b/>
                <w:color w:val="1F7A4D"/>
              </w:rPr>
              <w:t>FR-011 | Implemented</w:t>
            </w:r>
          </w:p>
        </w:tc>
      </w:tr>
      <w:tr w:rsidR="00A62A3E" w14:paraId="4B72414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spacing w:after="0"/>
            </w:pPr>
            <w:r>
              <w:rPr>
                <w:color w:val="000000"/>
                <w:sz w:val="17"/>
              </w:rPr>
              <w:t>A supplier on hold or failing KYC must not be payable, however the payment was raised.</w:t>
            </w:r>
          </w:p>
        </w:tc>
      </w:tr>
      <w:tr w:rsidR="00A62A3E" w14:paraId="611F28E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spacing w:after="0"/>
            </w:pPr>
            <w:r>
              <w:rPr>
                <w:b/>
                <w:color w:val="1F7A4D"/>
              </w:rPr>
              <w:t>FR-012 | Implemented</w:t>
            </w:r>
          </w:p>
        </w:tc>
      </w:tr>
      <w:tr w:rsidR="00A62A3E" w14:paraId="5E897EC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spacing w:after="0"/>
            </w:pPr>
            <w:r>
              <w:rPr>
                <w:color w:val="000000"/>
                <w:sz w:val="17"/>
              </w:rPr>
              <w:t>What is owed, to whom, for how long, and what has been received but not billed must all be answerable.</w:t>
            </w:r>
          </w:p>
        </w:tc>
      </w:tr>
      <w:tr w:rsidR="00A62A3E" w14:paraId="160DEEC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w:t>
            </w:r>
          </w:p>
        </w:tc>
      </w:tr>
      <w:tr w:rsidR="00A62A3E" w14:paraId="7A44E66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spacing w:after="0"/>
            </w:pPr>
            <w:r>
              <w:rPr>
                <w:b/>
                <w:color w:val="1F7A4D"/>
              </w:rPr>
              <w:t>FR-013 | Implemented</w:t>
            </w:r>
          </w:p>
        </w:tc>
      </w:tr>
      <w:tr w:rsidR="00A62A3E" w14:paraId="31212AF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spacing w:after="0"/>
            </w:pPr>
            <w:r>
              <w:rPr>
                <w:color w:val="000000"/>
                <w:sz w:val="17"/>
              </w:rPr>
              <w:t>A period must not be sealed over an unreconciled payables position.</w:t>
            </w:r>
          </w:p>
        </w:tc>
      </w:tr>
      <w:tr w:rsidR="00A62A3E" w14:paraId="14FAA4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spacing w:after="0"/>
            </w:pPr>
            <w:r>
              <w:rPr>
                <w:b/>
                <w:color w:val="1F7A4D"/>
              </w:rPr>
              <w:t>FR-014 | Implemented</w:t>
            </w:r>
          </w:p>
        </w:tc>
      </w:tr>
      <w:tr w:rsidR="00A62A3E" w14:paraId="31212AF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spacing w:after="0"/>
            </w:pPr>
            <w:r>
              <w:rPr>
                <w:color w:val="000000"/>
                <w:sz w:val="17"/>
              </w:rPr>
              <w:t>The supplier's own invoice, and the receipt they issue once paid, must be held against the documents they belong to.</w:t>
            </w:r>
          </w:p>
        </w:tc>
      </w:tr>
      <w:tr w:rsidR="00A62A3E" w14:paraId="14FAA4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w:t>
            </w:r>
          </w:p>
        </w:tc>
      </w:tr>
      <w:tr w:rsidR="00A62A3E" w14:paraId="16F643A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w:t>
            </w:r>
          </w:p>
        </w:tc>
      </w:tr>
      <w:tr w:rsidR="00A62A3E" w14:paraId="2DE4D49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the ladders Module 22 publishes.</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Renders and delivers the purchase-order email through the shared tenant-aware layout, records its outcome, carries the PDF attachment metadata, and preserves staff-authored template overrides.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so it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An attachment URL is a capability, not an object-level authorisation. The media endpoint can only tell that the caller is logged in, so a URL that escapes the people allowed to see the document stays fetchable. Files stored before unguessable naming keep their old predictable names.</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23 carries 22 capability entries in MRD v2.63. Each maps to the requirements below. Clearer purchase-order vendor mail strengthens delivery and status tracking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FR-001</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purchase-order vendor email without changing the delivery workflow. The message now presents order date, expected delivery, total, address, payment terms, attached PDF, optional buyer note, and buyer contact in a clear order. It deliberately has no button because the vendor's action is to review the attached order, not open an internal product route. Migration 0017 updates only the platform-maintained row and preserves staff-authored content. Also corrects the inherited cover version, which still displayed 1.6 while Document Control already said 1.7. Updates purpose, FR-002, the Module 8 dependency, and MRD traceability. Module 23 remains Backend Complete and In use Complete with 22 capabilities. Verified by 146 notification tests and 506 procurement tests.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M23 Purchase Orders Delivery and AP Functional Requirements Document v1.8</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1.8</cp:version>
  <dc:title>XVS M23 Purchase Orders Delivery and AP Functional Requirements Document v1.8</dc:title>
</cp:coreProperties>
</file>