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2.63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2.63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refining seven procurement vendor emails across Modules 8, 22, and 23. The family now gives vendors structured request, deadline, submission, and purchase-order details; distinguishes a receipt from an award; and separates amendments that require a new response from information-only changes. Signed RFQ links and verification codes are now stored as inert markers and substituted only by the delivery worker. Migration 0017 refreshes only platform-maintained templates. Verified by 146 notification tests and 506 procurement tests.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479</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v2.63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Clearer vendor mail with delivery-only RFQ secrets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Invitations name the inviter and tenant workspace and explain their seven-day, one-time link. Password-reset mail now names the account and workspace, distinguishes self-service from an administrator request, and reports the exact expiry from the reset row instead of a hard-coded duration. Account creation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v2.63 Capability Delta</w:t>
      </w:r>
    </w:p>
    <w:p w14:paraId="4C4A5E5A" w14:textId="77777777" w:rsidR="00472341" w:rsidRDefault="00000000">
      <w:pPr>
        <w:spacing w:after="100" w:line="240" w:lineRule="auto" w:before="0"/>
      </w:pPr>
      <w:r>
        <w:rPr>
          <w:rFonts w:ascii="Aptos Narrow" w:hAnsi="Aptos Narrow"/>
          <w:b w:val="0"/>
          <w:color w:val="000000"/>
          <w:sz w:val="18"/>
        </w:rPr>
        <w:t>This revision improves the existing notification, supplier invitation, quotation capture, and purchase-order delivery capabilities shared by Modules 8, 22, and 23. It adds no route, permission, event, or capability entry. Seven vendor emails now present the real deadline, action, attachment, or outcome, and the two RFQ credentials no longer enter durable history.</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v2.63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Seven vendor messages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Purpose-specific</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Purchase-order delivery and the RFQ invitation, code, reminder, receipt, amendment, and extension each show the details and action their recipient needs.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RFQ credentials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Delivery only</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signed invitation token and verification code render as inert markers in stored history and are replaced with their raw values only immediately before email delivery.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Vendor outcomes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explicit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quotation receipt says it is neither acceptance nor award. Amendment mail branches between required resubmission and an information-only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Existing customized templates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Migration 0017 changes only html_is_custom=false rows and keeps every staff-authored subject, message, action, and HTML document.</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v2.63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v2.63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2.63</cp:version>
</cp:coreProperties>
</file>