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F172A"/>
          <w:sz w:val="44"/>
        </w:rPr>
        <w:t>INFORME DE SITUACIÓN Y PLAN DE CONTINUACIÓN</w:t>
      </w:r>
    </w:p>
    <w:p>
      <w:r>
        <w:rPr>
          <w:rFonts w:ascii="Calibri" w:hAnsi="Calibri"/>
          <w:i/>
          <w:color w:val="64748B"/>
          <w:sz w:val="22"/>
        </w:rPr>
        <w:t>Resumen Ejecutivo de Cambios Realizados y Hoja de Ruta para el Lunes</w:t>
        <w:br/>
        <w:t>Codiagro S.L. | Fecha: 02/10/2026</w:t>
      </w:r>
    </w:p>
    <w:p>
      <w:pPr>
        <w:spacing w:after="240"/>
      </w:pPr>
    </w:p>
    <w:p>
      <w:pPr>
        <w:pStyle w:val="Heading1"/>
      </w:pPr>
      <w:r>
        <w:rPr>
          <w:color w:val="1E3A8A"/>
        </w:rPr>
        <w:t>1. Resumen Ejecutivo de la Sesión</w:t>
      </w:r>
    </w:p>
    <w:p>
      <w:pPr>
        <w:spacing w:after="120"/>
      </w:pPr>
      <w:r>
        <w:t>Durante la sesión de trabajo del 02/10/2026 se han completado con éxito cinco grandes bloques de trabajo críticos para la gestión presupuestaria, comercial y de operaciones de Codiagro:</w:t>
      </w:r>
    </w:p>
    <w:p>
      <w:pPr>
        <w:pStyle w:val="ListBullet"/>
      </w:pPr>
      <w:r>
        <w:rPr>
          <w:b/>
        </w:rPr>
        <w:t xml:space="preserve">Presupuesto 2027 y P&amp;L (Ajuste al 4,5%): </w:t>
      </w:r>
      <w:r>
        <w:t>Se recalcularon todas las cuentas contables de compras y gastos aplicando exclusivamente la subida prevista por inflación (+4,5%), desglosando la comparativa frente a la previsión original del 10%.</w:t>
      </w:r>
    </w:p>
    <w:p>
      <w:pPr>
        <w:pStyle w:val="ListBullet"/>
      </w:pPr>
      <w:r>
        <w:rPr>
          <w:b/>
        </w:rPr>
        <w:t xml:space="preserve">Revisión de Previsiones Q4 2026: </w:t>
      </w:r>
      <w:r>
        <w:t>Se auditaron y consolidaron las modificaciones enviadas por los comerciales en la carpeta 'Revisión previsiones Q4', generando un informe detallado de variaciones y actualizando las matrices maestras con copias de seguridad de respaldo.</w:t>
      </w:r>
    </w:p>
    <w:p>
      <w:pPr>
        <w:pStyle w:val="ListBullet"/>
      </w:pPr>
      <w:r>
        <w:rPr>
          <w:b/>
        </w:rPr>
        <w:t xml:space="preserve">Interactividad y Desglose por SKU: </w:t>
      </w:r>
      <w:r>
        <w:t>Las tarjetas KPI del dashboard web ahora son clickeables, desplegando modales interactivos con consolidación estricta a nivel de SKU único (sumando comerciales y clientes).</w:t>
      </w:r>
    </w:p>
    <w:p>
      <w:pPr>
        <w:pStyle w:val="ListBullet"/>
      </w:pPr>
      <w:r>
        <w:rPr>
          <w:b/>
        </w:rPr>
        <w:t xml:space="preserve">Estandarización de Exportación y Multidioma: </w:t>
      </w:r>
      <w:r>
        <w:t>Se incorporó la codificación de 2 dígitos de país en los SKUs de exportación (ej. AN0005CO, BIO0020TR) y se integró un conmutador bilingüe completo Español / Inglés.</w:t>
      </w:r>
    </w:p>
    <w:p>
      <w:pPr>
        <w:pStyle w:val="ListBullet"/>
      </w:pPr>
      <w:r>
        <w:rPr>
          <w:b/>
        </w:rPr>
        <w:t xml:space="preserve">Módulo MRP / Planificación de Producción: </w:t>
      </w:r>
      <w:r>
        <w:t>Nueva pestaña integral de planificación que cruza el stock real de almacén (429.498 u) con los pedidos en cartera (36.709 u) y la previsión mensual a 15 meses (Oct-26 a Dic-27), permitiendo agrupar por N+2, N+5 o selección libre.</w:t>
      </w:r>
    </w:p>
    <w:p>
      <w:pPr>
        <w:spacing w:after="120"/>
      </w:pPr>
    </w:p>
    <w:p>
      <w:pPr>
        <w:pStyle w:val="Heading1"/>
      </w:pPr>
      <w:r>
        <w:rPr>
          <w:color w:val="1E3A8A"/>
        </w:rPr>
        <w:t>2. Nuevo Módulo de Planificación de la Producción (MRP)</w:t>
      </w:r>
    </w:p>
    <w:p>
      <w:r>
        <w:t>Este módulo resuelve la necesidad operativa de saber con exactitud cuánto falta por fabricar según el horizonte de pedidos y previsiones que se desee analizar.</w:t>
      </w:r>
    </w:p>
    <w:p>
      <w:r>
        <w:rPr>
          <w:b/>
        </w:rPr>
        <w:t>Regla del Mes N y Sincronización Bidireccional:</w:t>
        <w:br/>
      </w:r>
      <w:r>
        <w:t>• N = Octubre 2026 (mes en curso).</w:t>
        <w:br/>
        <w:t>• N+1 = Octubre + Noviembre 2026 (2 meses).</w:t>
        <w:br/>
        <w:t>• N+2 = Octubre + Noviembre + Diciembre 2026 (3 meses, cierre de ejercicio). Viene activo por defecto.</w:t>
        <w:br/>
        <w:t>• N+5 = Octubre 2026 a Marzo 2027 (6 meses, ventana de materias primas y campaña primavera).</w:t>
        <w:br/>
        <w:t>• Selector Libre: Al pulsar un preset, se marcan automáticamente los meses correspondientes en la barra de 15 chips libres. El usuario también puede marcar o desmarcar cualquier mes a voluntad y el cálculo se actualiza inmediatamente.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293B"/>
          </w:tcPr>
          <w:p>
            <w:r>
              <w:rPr>
                <w:b/>
                <w:color w:val="FFFFFF"/>
              </w:rPr>
              <w:t>Métrica de Planta</w:t>
            </w:r>
          </w:p>
        </w:tc>
        <w:tc>
          <w:tcPr>
            <w:tcW w:type="dxa" w:w="3120"/>
            <w:shd w:val="clear" w:color="auto" w:fill="1E293B"/>
          </w:tcPr>
          <w:p>
            <w:r>
              <w:rPr>
                <w:b/>
                <w:color w:val="FFFFFF"/>
              </w:rPr>
              <w:t>Valor en N+2 (Oct-Dic 26)</w:t>
            </w:r>
          </w:p>
        </w:tc>
        <w:tc>
          <w:tcPr>
            <w:tcW w:type="dxa" w:w="3120"/>
            <w:shd w:val="clear" w:color="auto" w:fill="1E293B"/>
          </w:tcPr>
          <w:p>
            <w:r>
              <w:rPr>
                <w:b/>
                <w:color w:val="FFFFFF"/>
              </w:rPr>
              <w:t>Valor en N+5 (Oct 26 - Mar 27)</w:t>
            </w:r>
          </w:p>
        </w:tc>
      </w:tr>
      <w:tr>
        <w:tc>
          <w:tcPr>
            <w:tcW w:type="dxa" w:w="3120"/>
          </w:tcPr>
          <w:p>
            <w:r>
              <w:t>Falta Fabricar (Necesidad Neta)</w:t>
            </w:r>
          </w:p>
        </w:tc>
        <w:tc>
          <w:tcPr>
            <w:tcW w:type="dxa" w:w="3120"/>
          </w:tcPr>
          <w:p>
            <w:r>
              <w:t>1.042.703 unidades</w:t>
            </w:r>
          </w:p>
        </w:tc>
        <w:tc>
          <w:tcPr>
            <w:tcW w:type="dxa" w:w="3120"/>
          </w:tcPr>
          <w:p>
            <w:r>
              <w:t>2.694.979 unidades</w:t>
            </w:r>
          </w:p>
        </w:tc>
      </w:tr>
      <w:tr>
        <w:tc>
          <w:tcPr>
            <w:tcW w:type="dxa" w:w="3120"/>
          </w:tcPr>
          <w:p>
            <w:r>
              <w:t>Stock Físico en Almacén</w:t>
            </w:r>
          </w:p>
        </w:tc>
        <w:tc>
          <w:tcPr>
            <w:tcW w:type="dxa" w:w="3120"/>
          </w:tcPr>
          <w:p>
            <w:r>
              <w:t>429.498 unidades</w:t>
            </w:r>
          </w:p>
        </w:tc>
        <w:tc>
          <w:tcPr>
            <w:tcW w:type="dxa" w:w="3120"/>
          </w:tcPr>
          <w:p>
            <w:r>
              <w:t>429.498 unidades</w:t>
            </w:r>
          </w:p>
        </w:tc>
      </w:tr>
      <w:tr>
        <w:tc>
          <w:tcPr>
            <w:tcW w:type="dxa" w:w="3120"/>
          </w:tcPr>
          <w:p>
            <w:r>
              <w:t>Previsión de Ventas</w:t>
            </w:r>
          </w:p>
        </w:tc>
        <w:tc>
          <w:tcPr>
            <w:tcW w:type="dxa" w:w="3120"/>
          </w:tcPr>
          <w:p>
            <w:r>
              <w:t>1.275.074 unidades</w:t>
            </w:r>
          </w:p>
        </w:tc>
        <w:tc>
          <w:tcPr>
            <w:tcW w:type="dxa" w:w="3120"/>
          </w:tcPr>
          <w:p>
            <w:r>
              <w:t>2.985.630 unidades</w:t>
            </w:r>
          </w:p>
        </w:tc>
      </w:tr>
      <w:tr>
        <w:tc>
          <w:tcPr>
            <w:tcW w:type="dxa" w:w="3120"/>
          </w:tcPr>
          <w:p>
            <w:r>
              <w:t>Pedidos Pendientes en Cartera</w:t>
            </w:r>
          </w:p>
        </w:tc>
        <w:tc>
          <w:tcPr>
            <w:tcW w:type="dxa" w:w="3120"/>
          </w:tcPr>
          <w:p>
            <w:r>
              <w:t>36.709 unidades</w:t>
            </w:r>
          </w:p>
        </w:tc>
        <w:tc>
          <w:tcPr>
            <w:tcW w:type="dxa" w:w="3120"/>
          </w:tcPr>
          <w:p>
            <w:r>
              <w:t>36.709 unidades</w:t>
            </w:r>
          </w:p>
        </w:tc>
      </w:tr>
      <w:tr>
        <w:tc>
          <w:tcPr>
            <w:tcW w:type="dxa" w:w="3120"/>
          </w:tcPr>
          <w:p>
            <w:r>
              <w:t>SKUs en Rotura / Urgente (&lt;25% Cobertura)</w:t>
            </w:r>
          </w:p>
        </w:tc>
        <w:tc>
          <w:tcPr>
            <w:tcW w:type="dxa" w:w="3120"/>
          </w:tcPr>
          <w:p>
            <w:r>
              <w:t>82 SKUs</w:t>
            </w:r>
          </w:p>
        </w:tc>
        <w:tc>
          <w:tcPr>
            <w:tcW w:type="dxa" w:w="3120"/>
          </w:tcPr>
          <w:p>
            <w:r>
              <w:t>120 SKUs</w:t>
            </w:r>
          </w:p>
        </w:tc>
      </w:tr>
      <w:tr>
        <w:tc>
          <w:tcPr>
            <w:tcW w:type="dxa" w:w="3120"/>
          </w:tcPr>
          <w:p>
            <w:r>
              <w:t>SKUs Cubiertos (≥100% Cobertura)</w:t>
            </w:r>
          </w:p>
        </w:tc>
        <w:tc>
          <w:tcPr>
            <w:tcW w:type="dxa" w:w="3120"/>
          </w:tcPr>
          <w:p>
            <w:r>
              <w:t>141 SKUs</w:t>
            </w:r>
          </w:p>
        </w:tc>
        <w:tc>
          <w:tcPr>
            <w:tcW w:type="dxa" w:w="3120"/>
          </w:tcPr>
          <w:p>
            <w:r>
              <w:t>88 SKUs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1E3A8A"/>
        </w:rPr>
        <w:t>3. Archivos Modificados y Copias de Seguridad Creadas</w:t>
      </w:r>
    </w:p>
    <w:p>
      <w:pPr>
        <w:pStyle w:val="ListBullet"/>
      </w:pPr>
      <w:r>
        <w:rPr>
          <w:b/>
        </w:rPr>
        <w:t xml:space="preserve">Gastos/2027-Budget-Codiagro P&amp;L.xlsx: </w:t>
      </w:r>
      <w:r>
        <w:t>Actualizado con subida del 4,5% en compras. Copia respaldo: Gastos/Desglose 2027 Presupuestos V5_BACKUP_10PCT.xlsx.</w:t>
      </w:r>
    </w:p>
    <w:p>
      <w:pPr>
        <w:pStyle w:val="ListBullet"/>
      </w:pPr>
      <w:r>
        <w:rPr>
          <w:b/>
        </w:rPr>
        <w:t xml:space="preserve">Presupuesto_Ventas_2027_Definitivo.xlsx: </w:t>
      </w:r>
      <w:r>
        <w:t>Actualizado con las revisiones de comerciales Q4. Copia respaldo: Presupuesto_Ventas_2027_Definitivo_BACKUP_PRE_REVISION_Q4.xlsx.</w:t>
      </w:r>
    </w:p>
    <w:p>
      <w:pPr>
        <w:pStyle w:val="ListBullet"/>
      </w:pPr>
      <w:r>
        <w:rPr>
          <w:b/>
        </w:rPr>
        <w:t xml:space="preserve">Informe_Cambios_Previsiones_Q4_Comerciales.xlsx: </w:t>
      </w:r>
      <w:r>
        <w:t>Archivo Excel generado con el inventario completo de cambios solicitados por comercial y SKU.</w:t>
      </w:r>
    </w:p>
    <w:p>
      <w:pPr>
        <w:pStyle w:val="ListBullet"/>
      </w:pPr>
      <w:r>
        <w:rPr>
          <w:b/>
        </w:rPr>
        <w:t xml:space="preserve">web_dashboard/production_planning_data.json / .js: </w:t>
      </w:r>
      <w:r>
        <w:t>Base de datos del MRP con 259 SKUs base de planta y 447 SKUs detallados a 15 meses.</w:t>
      </w:r>
    </w:p>
    <w:p>
      <w:pPr>
        <w:pStyle w:val="ListBullet"/>
      </w:pPr>
      <w:r>
        <w:rPr>
          <w:b/>
        </w:rPr>
        <w:t xml:space="preserve">web_dashboard/index.html: </w:t>
      </w:r>
      <w:r>
        <w:t>Panel web interactivo con soporte bilingüe, drilldown de KPIs, modal de agotamiento y exportador CSV.</w:t>
      </w:r>
    </w:p>
    <w:p>
      <w:pPr>
        <w:pStyle w:val="ListBullet"/>
      </w:pPr>
      <w:r>
        <w:rPr>
          <w:b/>
        </w:rPr>
        <w:t xml:space="preserve">backup_to_firebase.js: </w:t>
      </w:r>
      <w:r>
        <w:t>Script listo para respaldar la base de datos completa en Firebase.</w:t>
      </w:r>
    </w:p>
    <w:p>
      <w:pPr>
        <w:spacing w:after="160"/>
      </w:pPr>
    </w:p>
    <w:p>
      <w:pPr>
        <w:pStyle w:val="Heading1"/>
      </w:pPr>
      <w:r>
        <w:rPr>
          <w:color w:val="1E3A8A"/>
        </w:rPr>
        <w:t>4. Hoja de Ruta y Próximos Pasos para el Lunes</w:t>
      </w:r>
    </w:p>
    <w:p>
      <w:pPr>
        <w:pStyle w:val="ListBullet"/>
      </w:pPr>
      <w:r>
        <w:rPr>
          <w:b/>
        </w:rPr>
        <w:t xml:space="preserve">1. Comprobación y Navegación: </w:t>
      </w:r>
      <w:r>
        <w:t>Abrir http://localhost:3025/ en el navegador y probar la pestaña 'Planificación Producción' con los filtros de N+2 y N+5.</w:t>
      </w:r>
    </w:p>
    <w:p>
      <w:pPr>
        <w:pStyle w:val="ListBullet"/>
      </w:pPr>
      <w:r>
        <w:rPr>
          <w:b/>
        </w:rPr>
        <w:t xml:space="preserve">2. Validación del Modal de Agotamiento: </w:t>
      </w:r>
      <w:r>
        <w:t>Hacer clic en 'Ver desglose' sobre artículos clave (ej. AN0020, BIO0020) para comprobar la proyección mensual y el desglose de clientes/países.</w:t>
      </w:r>
    </w:p>
    <w:p>
      <w:pPr>
        <w:pStyle w:val="ListBullet"/>
      </w:pPr>
      <w:r>
        <w:rPr>
          <w:b/>
        </w:rPr>
        <w:t xml:space="preserve">3. Parámetros de Fábrica (Opcional): </w:t>
      </w:r>
      <w:r>
        <w:t>Decidir si se desea incorporar lote mínimo de fabricación (MOQ) o agrupación por familias (Líquidos vs Sólidos / Bioestimulantes vs Nutricionales).</w:t>
      </w:r>
    </w:p>
    <w:p>
      <w:pPr>
        <w:pStyle w:val="ListBullet"/>
      </w:pPr>
      <w:r>
        <w:rPr>
          <w:b/>
        </w:rPr>
        <w:t xml:space="preserve">4. Enlace con Materias Primas: </w:t>
      </w:r>
      <w:r>
        <w:t>Si se desea, cruzar la previsión de fabricación resultante con las compras presupuestadas de 2027 para anticipar aprovisionamientos.</w:t>
      </w:r>
    </w:p>
    <w:p>
      <w:pPr>
        <w:pStyle w:val="ListBullet"/>
      </w:pPr>
      <w:r>
        <w:rPr>
          <w:b/>
        </w:rPr>
        <w:t xml:space="preserve">5. Sincronización Firebase: </w:t>
      </w:r>
      <w:r>
        <w:t>Lanzar el respaldo cloud definitivo mediante el script backup_to_firebase.js.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