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both"/>
        <w:rPr>
          <w:lang w:val="en-US"/>
        </w:rPr>
      </w:pPr>
      <w:r>
        <w:rPr>
          <w:lang w:val="en-US"/>
        </w:rPr>
        <w:t>Here below some indications for ship’s crew members carrying out goods during loading / unloading operations in the Ortona port and, therefore, may be exposed to risks caused by operations carried out on board and on quay by the staff of Fiore srl.</w:t>
      </w:r>
    </w:p>
    <w:tbl>
      <w:tblPr>
        <w:tblW w:w="9781" w:type="dxa"/>
        <w:jc w:val="left"/>
        <w:tblInd w:w="-11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Pr>
      <w:tblGrid>
        <w:gridCol w:w="404"/>
        <w:gridCol w:w="2677"/>
        <w:gridCol w:w="1563"/>
        <w:gridCol w:w="2127"/>
        <w:gridCol w:w="3010"/>
      </w:tblGrid>
      <w:tr>
        <w:trPr>
          <w:trHeight w:val="600" w:hRule="atLeast"/>
        </w:trPr>
        <w:tc>
          <w:tcPr>
            <w:tcW w:w="9781"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val="clear"/>
            <w:vAlign w:val="center"/>
          </w:tcPr>
          <w:p>
            <w:pPr>
              <w:pStyle w:val="Normal"/>
              <w:spacing w:before="0" w:after="160"/>
              <w:jc w:val="center"/>
              <w:rPr>
                <w:b/>
                <w:b/>
                <w:lang w:val="en-US"/>
              </w:rPr>
            </w:pPr>
            <w:r>
              <w:rPr>
                <w:b/>
                <w:lang w:val="en-US"/>
              </w:rPr>
              <w:t>Risks for personnel present on the ship during loading / unloading operations</w:t>
            </w:r>
          </w:p>
        </w:tc>
      </w:tr>
      <w:tr>
        <w:trPr>
          <w:trHeight w:val="601" w:hRule="atLeast"/>
        </w:trPr>
        <w:tc>
          <w:tcPr>
            <w:tcW w:w="4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160"/>
              <w:jc w:val="center"/>
              <w:rPr>
                <w:b/>
                <w:b/>
                <w:sz w:val="21"/>
                <w:szCs w:val="21"/>
              </w:rPr>
            </w:pPr>
            <w:r>
              <w:rPr>
                <w:b/>
                <w:sz w:val="21"/>
                <w:szCs w:val="21"/>
              </w:rPr>
              <w:t>n.</w:t>
            </w:r>
          </w:p>
        </w:tc>
        <w:tc>
          <w:tcPr>
            <w:tcW w:w="26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160"/>
              <w:jc w:val="center"/>
              <w:rPr>
                <w:b/>
                <w:b/>
                <w:sz w:val="21"/>
                <w:szCs w:val="21"/>
              </w:rPr>
            </w:pPr>
            <w:r>
              <w:rPr>
                <w:b/>
                <w:sz w:val="21"/>
                <w:szCs w:val="21"/>
              </w:rPr>
              <w:t>Risk</w:t>
            </w:r>
          </w:p>
        </w:tc>
        <w:tc>
          <w:tcPr>
            <w:tcW w:w="15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160"/>
              <w:jc w:val="center"/>
              <w:rPr>
                <w:b/>
                <w:b/>
                <w:sz w:val="21"/>
                <w:szCs w:val="21"/>
              </w:rPr>
            </w:pPr>
            <w:r>
              <w:rPr>
                <w:b/>
                <w:sz w:val="21"/>
                <w:szCs w:val="21"/>
              </w:rPr>
              <w:t>Consequences</w:t>
            </w:r>
          </w:p>
        </w:tc>
        <w:tc>
          <w:tcPr>
            <w:tcW w:w="21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160"/>
              <w:jc w:val="center"/>
              <w:rPr>
                <w:b/>
                <w:b/>
                <w:sz w:val="21"/>
                <w:szCs w:val="21"/>
              </w:rPr>
            </w:pPr>
            <w:r>
              <w:rPr>
                <w:b/>
                <w:sz w:val="21"/>
                <w:szCs w:val="21"/>
              </w:rPr>
              <w:t>reasons</w:t>
            </w:r>
          </w:p>
        </w:tc>
        <w:tc>
          <w:tcPr>
            <w:tcW w:w="30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160"/>
              <w:jc w:val="center"/>
              <w:rPr>
                <w:b/>
                <w:b/>
                <w:sz w:val="21"/>
                <w:szCs w:val="21"/>
                <w:lang w:val="en-US"/>
              </w:rPr>
            </w:pPr>
            <w:r>
              <w:rPr>
                <w:b/>
                <w:sz w:val="21"/>
                <w:szCs w:val="21"/>
                <w:lang w:val="en-US"/>
              </w:rPr>
              <w:t>Measures of prevention and protection</w:t>
            </w:r>
          </w:p>
        </w:tc>
      </w:tr>
      <w:tr>
        <w:trPr>
          <w:trHeight w:val="990" w:hRule="atLeast"/>
        </w:trPr>
        <w:tc>
          <w:tcPr>
            <w:tcW w:w="4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160"/>
              <w:rPr>
                <w:sz w:val="21"/>
                <w:szCs w:val="21"/>
              </w:rPr>
            </w:pPr>
            <w:r>
              <w:rPr>
                <w:sz w:val="21"/>
                <w:szCs w:val="21"/>
              </w:rPr>
              <w:t>1</w:t>
            </w:r>
          </w:p>
        </w:tc>
        <w:tc>
          <w:tcPr>
            <w:tcW w:w="26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sz w:val="21"/>
                <w:szCs w:val="21"/>
                <w:lang w:val="en-US"/>
              </w:rPr>
            </w:pPr>
            <w:r>
              <w:rPr>
                <w:sz w:val="21"/>
                <w:szCs w:val="21"/>
                <w:lang w:val="en-US"/>
              </w:rPr>
              <w:t>- Investment by machineries in movement on the quay</w:t>
            </w:r>
          </w:p>
          <w:p>
            <w:pPr>
              <w:pStyle w:val="Normal"/>
              <w:spacing w:before="0" w:after="160"/>
              <w:rPr>
                <w:sz w:val="21"/>
                <w:szCs w:val="21"/>
                <w:lang w:val="en-US"/>
              </w:rPr>
            </w:pPr>
            <w:r>
              <w:rPr>
                <w:sz w:val="21"/>
                <w:szCs w:val="21"/>
                <w:lang w:val="en-US"/>
              </w:rPr>
              <w:t>- Impact or investment by unstable goods</w:t>
            </w:r>
          </w:p>
        </w:tc>
        <w:tc>
          <w:tcPr>
            <w:tcW w:w="15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160"/>
              <w:rPr>
                <w:sz w:val="21"/>
                <w:szCs w:val="21"/>
              </w:rPr>
            </w:pPr>
            <w:r>
              <w:rPr>
                <w:sz w:val="21"/>
                <w:szCs w:val="21"/>
              </w:rPr>
              <w:t>Crushing and injuries</w:t>
            </w:r>
          </w:p>
        </w:tc>
        <w:tc>
          <w:tcPr>
            <w:tcW w:w="21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Calibri" w:hAnsi="Calibri"/>
                <w:sz w:val="21"/>
                <w:szCs w:val="21"/>
                <w:lang w:val="en-US"/>
              </w:rPr>
            </w:pPr>
            <w:r>
              <w:rPr>
                <w:sz w:val="21"/>
                <w:szCs w:val="21"/>
                <w:lang w:val="en-US"/>
              </w:rPr>
              <w:t>- Carelessness</w:t>
            </w:r>
          </w:p>
          <w:p>
            <w:pPr>
              <w:pStyle w:val="Normal"/>
              <w:spacing w:before="0" w:after="160"/>
              <w:rPr>
                <w:rFonts w:ascii="Calibri" w:hAnsi="Calibri"/>
                <w:sz w:val="21"/>
                <w:szCs w:val="21"/>
                <w:lang w:val="en-US"/>
              </w:rPr>
            </w:pPr>
            <w:r>
              <w:rPr>
                <w:sz w:val="21"/>
                <w:szCs w:val="21"/>
                <w:lang w:val="en-US"/>
              </w:rPr>
              <w:t>- Wrong maneuver of the operator</w:t>
            </w:r>
          </w:p>
        </w:tc>
        <w:tc>
          <w:tcPr>
            <w:tcW w:w="30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160"/>
              <w:jc w:val="both"/>
              <w:rPr/>
            </w:pPr>
            <w:r>
              <w:rPr>
                <w:sz w:val="21"/>
                <w:szCs w:val="21"/>
                <w:lang w:val="en-US"/>
              </w:rPr>
              <w:t>During Loading / Unloading operations with ground</w:t>
            </w:r>
            <w:r>
              <w:rPr>
                <w:lang w:val="en-US"/>
              </w:rPr>
              <w:t xml:space="preserve"> </w:t>
            </w:r>
            <w:r>
              <w:rPr>
                <w:sz w:val="21"/>
                <w:szCs w:val="21"/>
                <w:lang w:val="en-US"/>
              </w:rPr>
              <w:t>machineries, the crew must follow the instructions given by the responsible port company</w:t>
            </w:r>
          </w:p>
        </w:tc>
      </w:tr>
      <w:tr>
        <w:trPr>
          <w:trHeight w:val="1742" w:hRule="atLeast"/>
        </w:trPr>
        <w:tc>
          <w:tcPr>
            <w:tcW w:w="4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160"/>
              <w:rPr>
                <w:sz w:val="21"/>
                <w:szCs w:val="21"/>
              </w:rPr>
            </w:pPr>
            <w:r>
              <w:rPr>
                <w:sz w:val="21"/>
                <w:szCs w:val="21"/>
              </w:rPr>
              <w:t>2</w:t>
            </w:r>
          </w:p>
        </w:tc>
        <w:tc>
          <w:tcPr>
            <w:tcW w:w="26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160"/>
              <w:rPr>
                <w:rFonts w:ascii="Calibri" w:hAnsi="Calibri"/>
                <w:sz w:val="21"/>
                <w:szCs w:val="21"/>
                <w:lang w:val="en-US"/>
              </w:rPr>
            </w:pPr>
            <w:r>
              <w:rPr>
                <w:sz w:val="21"/>
                <w:szCs w:val="21"/>
                <w:lang w:val="en-US"/>
              </w:rPr>
              <w:t>- Shock or investment by maneuvering inside  the hold</w:t>
            </w:r>
          </w:p>
        </w:tc>
        <w:tc>
          <w:tcPr>
            <w:tcW w:w="15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160"/>
              <w:rPr>
                <w:rFonts w:ascii="Calibri" w:hAnsi="Calibri"/>
                <w:sz w:val="21"/>
                <w:szCs w:val="21"/>
              </w:rPr>
            </w:pPr>
            <w:r>
              <w:rPr>
                <w:sz w:val="21"/>
                <w:szCs w:val="21"/>
              </w:rPr>
              <w:t>Crushing and injuries</w:t>
            </w:r>
          </w:p>
        </w:tc>
        <w:tc>
          <w:tcPr>
            <w:tcW w:w="21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Calibri" w:hAnsi="Calibri"/>
                <w:sz w:val="21"/>
                <w:szCs w:val="21"/>
                <w:lang w:val="en-US"/>
              </w:rPr>
            </w:pPr>
            <w:r>
              <w:rPr>
                <w:sz w:val="21"/>
                <w:szCs w:val="21"/>
                <w:lang w:val="en-US"/>
              </w:rPr>
              <w:t>- Incorrect action by the machinery operator inside the hold</w:t>
            </w:r>
          </w:p>
          <w:p>
            <w:pPr>
              <w:pStyle w:val="Normal"/>
              <w:spacing w:before="0" w:after="160"/>
              <w:rPr>
                <w:rFonts w:ascii="Calibri" w:hAnsi="Calibri"/>
                <w:sz w:val="21"/>
                <w:szCs w:val="21"/>
                <w:lang w:val="en-US"/>
              </w:rPr>
            </w:pPr>
            <w:r>
              <w:rPr>
                <w:sz w:val="21"/>
                <w:szCs w:val="21"/>
                <w:lang w:val="en-US"/>
              </w:rPr>
              <w:t>- Wrong maneuver of the shore crane operator</w:t>
            </w:r>
          </w:p>
        </w:tc>
        <w:tc>
          <w:tcPr>
            <w:tcW w:w="30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160"/>
              <w:jc w:val="both"/>
              <w:rPr>
                <w:rFonts w:ascii="Calibri" w:hAnsi="Calibri"/>
                <w:sz w:val="21"/>
                <w:szCs w:val="21"/>
                <w:lang w:val="en-US"/>
              </w:rPr>
            </w:pPr>
            <w:r>
              <w:rPr>
                <w:sz w:val="21"/>
                <w:szCs w:val="21"/>
                <w:lang w:val="en-US"/>
              </w:rPr>
              <w:t>During the cleaning operations of the holds by the port personnel undertaking with mechanical means, the crew will be able to access in the hold only behind indications of the responsible port company</w:t>
            </w:r>
          </w:p>
        </w:tc>
      </w:tr>
      <w:tr>
        <w:trPr>
          <w:trHeight w:val="990" w:hRule="atLeast"/>
        </w:trPr>
        <w:tc>
          <w:tcPr>
            <w:tcW w:w="4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160"/>
              <w:rPr>
                <w:sz w:val="21"/>
                <w:szCs w:val="21"/>
              </w:rPr>
            </w:pPr>
            <w:r>
              <w:rPr>
                <w:sz w:val="21"/>
                <w:szCs w:val="21"/>
              </w:rPr>
              <w:t>3</w:t>
            </w:r>
          </w:p>
        </w:tc>
        <w:tc>
          <w:tcPr>
            <w:tcW w:w="26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160"/>
              <w:rPr>
                <w:sz w:val="21"/>
                <w:szCs w:val="21"/>
                <w:lang w:val="en-US"/>
              </w:rPr>
            </w:pPr>
            <w:r>
              <w:rPr>
                <w:sz w:val="21"/>
                <w:szCs w:val="21"/>
                <w:lang w:val="en-US"/>
              </w:rPr>
              <w:t>- Crushing by falling goods from lifting gear</w:t>
            </w:r>
          </w:p>
        </w:tc>
        <w:tc>
          <w:tcPr>
            <w:tcW w:w="15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160"/>
              <w:rPr>
                <w:sz w:val="21"/>
                <w:szCs w:val="21"/>
              </w:rPr>
            </w:pPr>
            <w:r>
              <w:rPr>
                <w:sz w:val="21"/>
                <w:szCs w:val="21"/>
              </w:rPr>
              <w:t>Crushing and injuries</w:t>
            </w:r>
          </w:p>
        </w:tc>
        <w:tc>
          <w:tcPr>
            <w:tcW w:w="21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160"/>
              <w:rPr>
                <w:sz w:val="21"/>
                <w:szCs w:val="21"/>
                <w:lang w:val="en-US"/>
              </w:rPr>
            </w:pPr>
            <w:r>
              <w:rPr>
                <w:sz w:val="21"/>
                <w:szCs w:val="21"/>
                <w:lang w:val="en-US"/>
              </w:rPr>
              <w:t>- Fall loads due to incorrect operator operation</w:t>
            </w:r>
          </w:p>
        </w:tc>
        <w:tc>
          <w:tcPr>
            <w:tcW w:w="30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jc w:val="both"/>
              <w:rPr>
                <w:sz w:val="21"/>
                <w:szCs w:val="21"/>
                <w:lang w:val="en-US"/>
              </w:rPr>
            </w:pPr>
            <w:r>
              <w:rPr>
                <w:sz w:val="21"/>
                <w:szCs w:val="21"/>
                <w:lang w:val="en-US"/>
              </w:rPr>
              <w:t>Do not stand in the range of lifting equipment (on the quay and on the ship)</w:t>
            </w:r>
          </w:p>
          <w:p>
            <w:pPr>
              <w:pStyle w:val="Normal"/>
              <w:spacing w:before="0" w:after="160"/>
              <w:jc w:val="both"/>
              <w:rPr>
                <w:sz w:val="21"/>
                <w:szCs w:val="21"/>
                <w:lang w:val="en-US"/>
              </w:rPr>
            </w:pPr>
            <w:r>
              <w:rPr>
                <w:sz w:val="21"/>
                <w:szCs w:val="21"/>
                <w:lang w:val="en-US"/>
              </w:rPr>
              <w:t>Do not stand under the crane arm.</w:t>
            </w:r>
          </w:p>
        </w:tc>
      </w:tr>
      <w:tr>
        <w:trPr>
          <w:trHeight w:val="2025" w:hRule="atLeast"/>
        </w:trPr>
        <w:tc>
          <w:tcPr>
            <w:tcW w:w="4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160"/>
              <w:rPr>
                <w:sz w:val="21"/>
                <w:szCs w:val="21"/>
              </w:rPr>
            </w:pPr>
            <w:r>
              <w:rPr>
                <w:sz w:val="21"/>
                <w:szCs w:val="21"/>
              </w:rPr>
              <w:t>4</w:t>
            </w:r>
          </w:p>
        </w:tc>
        <w:tc>
          <w:tcPr>
            <w:tcW w:w="26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160"/>
              <w:rPr/>
            </w:pPr>
            <w:r>
              <w:rPr>
                <w:sz w:val="21"/>
                <w:szCs w:val="21"/>
              </w:rPr>
              <w:t>- Fall in depth</w:t>
            </w:r>
          </w:p>
        </w:tc>
        <w:tc>
          <w:tcPr>
            <w:tcW w:w="15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160"/>
              <w:rPr>
                <w:rFonts w:ascii="Calibri" w:hAnsi="Calibri"/>
                <w:sz w:val="21"/>
                <w:szCs w:val="21"/>
                <w:lang w:val="en-US"/>
              </w:rPr>
            </w:pPr>
            <w:r>
              <w:rPr>
                <w:sz w:val="21"/>
                <w:szCs w:val="21"/>
                <w:lang w:val="en-US"/>
              </w:rPr>
              <w:t>Fall into the sea and / or inside the hold and injuries</w:t>
            </w:r>
          </w:p>
        </w:tc>
        <w:tc>
          <w:tcPr>
            <w:tcW w:w="21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Calibri" w:hAnsi="Calibri"/>
                <w:sz w:val="21"/>
                <w:szCs w:val="21"/>
              </w:rPr>
            </w:pPr>
            <w:r>
              <w:rPr>
                <w:sz w:val="21"/>
                <w:szCs w:val="21"/>
              </w:rPr>
              <w:t>- Inattention</w:t>
            </w:r>
          </w:p>
          <w:p>
            <w:pPr>
              <w:pStyle w:val="Normal"/>
              <w:spacing w:before="0" w:after="160"/>
              <w:rPr>
                <w:rFonts w:ascii="Calibri" w:hAnsi="Calibri"/>
                <w:sz w:val="21"/>
                <w:szCs w:val="21"/>
              </w:rPr>
            </w:pPr>
            <w:r>
              <w:rPr>
                <w:sz w:val="21"/>
                <w:szCs w:val="21"/>
              </w:rPr>
              <w:t>- Incorrect handling operator</w:t>
            </w:r>
          </w:p>
        </w:tc>
        <w:tc>
          <w:tcPr>
            <w:tcW w:w="30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160"/>
              <w:jc w:val="both"/>
              <w:rPr>
                <w:rFonts w:ascii="Calibri" w:hAnsi="Calibri" w:cs="Arial"/>
                <w:sz w:val="21"/>
                <w:szCs w:val="21"/>
                <w:lang w:val="en-US"/>
              </w:rPr>
            </w:pPr>
            <w:r>
              <w:rPr>
                <w:rFonts w:cs="Arial"/>
                <w:sz w:val="21"/>
                <w:szCs w:val="21"/>
                <w:lang w:val="en-US"/>
              </w:rPr>
              <w:t>During hatch opening / closing operations, if they are carried out by means of a ground crane, the on board personnel must move away from the maneuvering areas, following the instructions given by the Port company personnel.</w:t>
            </w:r>
          </w:p>
        </w:tc>
      </w:tr>
    </w:tbl>
    <w:p>
      <w:pPr>
        <w:pStyle w:val="Normal"/>
        <w:spacing w:before="0" w:after="0"/>
        <w:rPr>
          <w:b/>
          <w:b/>
          <w:sz w:val="16"/>
          <w:szCs w:val="16"/>
          <w:lang w:val="en-US"/>
        </w:rPr>
      </w:pPr>
      <w:r>
        <w:rPr>
          <w:b/>
          <w:sz w:val="16"/>
          <w:szCs w:val="16"/>
          <w:lang w:val="en-US"/>
        </w:rPr>
      </w:r>
    </w:p>
    <w:p>
      <w:pPr>
        <w:pStyle w:val="Normal"/>
        <w:spacing w:before="0" w:after="0"/>
        <w:rPr>
          <w:b/>
          <w:b/>
          <w:lang w:val="en-US"/>
        </w:rPr>
      </w:pPr>
      <w:r>
        <w:rPr>
          <w:b/>
          <w:lang w:val="en-US"/>
        </w:rPr>
        <w:t>THE ON-BOARD STAFF DURING THE PORT OPERATIONS OF LOADING / UNLOADING VESSELS AND LOADING / UNLOADING  TRUCK MUST ALWAYS WEAR THE INDIVIDUAL PROTECTIVE INDUMENTS (P.P.I.) NECESSARY FOR PROTECTION IN RELATION TO THE TYPE OF ACTIVITY TO BE CARRIED OUT.</w:t>
      </w:r>
    </w:p>
    <w:p>
      <w:pPr>
        <w:pStyle w:val="Normal"/>
        <w:spacing w:before="0" w:after="0"/>
        <w:rPr>
          <w:b/>
          <w:b/>
          <w:sz w:val="16"/>
          <w:szCs w:val="16"/>
          <w:lang w:val="en-US"/>
        </w:rPr>
      </w:pPr>
      <w:r>
        <w:rPr>
          <w:b/>
          <w:sz w:val="16"/>
          <w:szCs w:val="16"/>
          <w:lang w:val="en-US"/>
        </w:rPr>
      </w:r>
    </w:p>
    <w:p>
      <w:pPr>
        <w:pStyle w:val="Normal"/>
        <w:spacing w:before="0" w:after="0"/>
        <w:rPr>
          <w:b/>
          <w:b/>
          <w:lang w:val="en-US"/>
        </w:rPr>
      </w:pPr>
      <w:r>
        <w:rPr>
          <w:b/>
          <w:lang w:val="en-US"/>
        </w:rPr>
        <w:t>The reference staff of Fiore srl for the coordination of activities and communications regarding safety are:</w:t>
      </w:r>
    </w:p>
    <w:p>
      <w:pPr>
        <w:pStyle w:val="Normal"/>
        <w:numPr>
          <w:ilvl w:val="0"/>
          <w:numId w:val="1"/>
        </w:numPr>
        <w:spacing w:before="0" w:after="0"/>
        <w:contextualSpacing/>
        <w:rPr/>
      </w:pPr>
      <w:r>
        <w:rPr>
          <w:b/>
          <w:color w:val="000000"/>
        </w:rPr>
        <w:t>Massimo Giancristofaro………….</w:t>
        <w:tab/>
        <w:t>cell.: +39 3806960624</w:t>
      </w:r>
    </w:p>
    <w:p>
      <w:pPr>
        <w:pStyle w:val="Normal"/>
        <w:numPr>
          <w:ilvl w:val="0"/>
          <w:numId w:val="1"/>
        </w:numPr>
        <w:spacing w:before="0" w:after="0"/>
        <w:contextualSpacing/>
        <w:rPr/>
      </w:pPr>
      <w:r>
        <w:rPr>
          <w:b/>
          <w:color w:val="000000"/>
        </w:rPr>
        <w:t>Tommaso Colonna………………….</w:t>
        <w:tab/>
        <w:t>cell.: +39 3475703866</w:t>
      </w:r>
    </w:p>
    <w:p>
      <w:pPr>
        <w:pStyle w:val="Normal"/>
        <w:spacing w:before="0" w:after="0"/>
        <w:ind w:right="0" w:hanging="0"/>
        <w:rPr/>
      </w:pPr>
      <w:r>
        <w:rPr>
          <w:lang w:val="en-US"/>
        </w:rPr>
        <w:t xml:space="preserve">Ortona (CH), lì </w:t>
      </w:r>
      <w:r>
        <w:rPr>
          <w:u w:val="single"/>
          <w:lang w:val="en-US"/>
        </w:rPr>
        <w:t>${etb}</w:t>
      </w:r>
      <w:r>
        <w:rPr>
          <w:lang w:val="en-US"/>
        </w:rPr>
        <w:tab/>
        <w:tab/>
        <w:tab/>
        <w:tab/>
        <w:tab/>
        <w:tab/>
      </w:r>
      <w:r>
        <w:rPr>
          <w:lang w:val="en-US"/>
        </w:rPr>
        <w:t xml:space="preserve">Vessel name: </w:t>
      </w:r>
      <w:r>
        <w:rPr>
          <w:sz w:val="21"/>
          <w:szCs w:val="21"/>
          <w:lang w:val="en-US"/>
        </w:rPr>
        <w:t>${nome_imb}</w:t>
      </w:r>
    </w:p>
    <w:p>
      <w:pPr>
        <w:pStyle w:val="Normal"/>
        <w:spacing w:before="0" w:after="0"/>
        <w:ind w:left="5760" w:right="0" w:hanging="0"/>
        <w:rPr/>
      </w:pPr>
      <w:r>
        <w:rPr>
          <w:color w:val="auto"/>
          <w:lang w:val="en-US"/>
        </w:rPr>
        <w:t>By receipt of the Captain</w:t>
      </w:r>
    </w:p>
    <w:p>
      <w:pPr>
        <w:pStyle w:val="Normal"/>
        <w:spacing w:before="0" w:after="0"/>
        <w:ind w:left="5760" w:right="0" w:hanging="0"/>
        <w:rPr>
          <w:lang w:val="en-US"/>
        </w:rPr>
      </w:pPr>
      <w:r>
        <w:rPr>
          <w:lang w:val="en-US"/>
        </w:rPr>
        <w:tab/>
      </w:r>
    </w:p>
    <w:p>
      <w:pPr>
        <w:pStyle w:val="Normal"/>
        <w:spacing w:before="0" w:after="0"/>
        <w:rPr/>
      </w:pPr>
      <w:r>
        <w:rPr>
          <w:lang w:val="en-US"/>
        </w:rPr>
        <w:tab/>
      </w:r>
    </w:p>
    <w:p>
      <w:pPr>
        <w:pStyle w:val="Normal"/>
        <w:spacing w:before="0" w:after="0"/>
        <w:rPr/>
      </w:pPr>
      <w:r>
        <w:rPr>
          <w:lang w:val="en-US"/>
        </w:rPr>
        <w:tab/>
        <w:tab/>
        <w:t xml:space="preserve">     </w:t>
      </w:r>
    </w:p>
    <w:sectPr>
      <w:headerReference w:type="default" r:id="rId2"/>
      <w:type w:val="nextPage"/>
      <w:pgSz w:w="11906" w:h="16838"/>
      <w:pgMar w:left="1134" w:right="1134" w:header="495" w:top="1905" w:footer="0" w:bottom="1134"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default"/>
  </w:font>
  <w:font w:name="Times New Roman">
    <w:charset w:val="01"/>
    <w:family w:val="roman"/>
    <w:pitch w:val="default"/>
  </w:font>
  <w:font w:name="Tahoma">
    <w:charset w:val="01"/>
    <w:family w:val="roman"/>
    <w:pitch w:val="default"/>
  </w:font>
  <w:font w:name="Liberation Sans">
    <w:altName w:val="Arial"/>
    <w:charset w:val="01"/>
    <w:family w:val="roman"/>
    <w:pitch w:val="default"/>
  </w:font>
  <w:font w:name="Georgia">
    <w:charset w:val="01"/>
    <w:family w:val="roman"/>
    <w:pitch w:val="default"/>
  </w:font>
  <w:font w:name="Arial Narrow">
    <w:charset w:val="01"/>
    <w:family w:val="roman"/>
    <w:pitch w:val="default"/>
  </w:font>
  <w:font w:name="Arial">
    <w:charset w:val="01"/>
    <w:family w:val="roman"/>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705" w:type="dxa"/>
      <w:jc w:val="left"/>
      <w:tblInd w:w="-92" w:type="dxa"/>
      <w:tblBorders>
        <w:top w:val="double" w:sz="4" w:space="0" w:color="00000A"/>
        <w:left w:val="double" w:sz="4" w:space="0" w:color="00000A"/>
        <w:bottom w:val="double" w:sz="4" w:space="0" w:color="00000A"/>
        <w:right w:val="single" w:sz="6" w:space="0" w:color="00000A"/>
        <w:insideH w:val="double" w:sz="4" w:space="0" w:color="00000A"/>
        <w:insideV w:val="single" w:sz="6" w:space="0" w:color="00000A"/>
      </w:tblBorders>
      <w:tblCellMar>
        <w:top w:w="0" w:type="dxa"/>
        <w:left w:w="77" w:type="dxa"/>
        <w:bottom w:w="0" w:type="dxa"/>
        <w:right w:w="70" w:type="dxa"/>
      </w:tblCellMar>
    </w:tblPr>
    <w:tblGrid>
      <w:gridCol w:w="2055"/>
      <w:gridCol w:w="5386"/>
      <w:gridCol w:w="2264"/>
    </w:tblGrid>
    <w:tr>
      <w:trPr>
        <w:trHeight w:val="1217" w:hRule="atLeast"/>
        <w:cantSplit w:val="true"/>
      </w:trPr>
      <w:tc>
        <w:tcPr>
          <w:tcW w:w="2055" w:type="dxa"/>
          <w:tcBorders>
            <w:top w:val="double" w:sz="4" w:space="0" w:color="00000A"/>
            <w:left w:val="double" w:sz="4" w:space="0" w:color="00000A"/>
            <w:bottom w:val="double" w:sz="4" w:space="0" w:color="00000A"/>
            <w:right w:val="single" w:sz="6" w:space="0" w:color="00000A"/>
            <w:insideH w:val="double" w:sz="4" w:space="0" w:color="00000A"/>
            <w:insideV w:val="single" w:sz="6" w:space="0" w:color="00000A"/>
          </w:tcBorders>
          <w:shd w:fill="auto" w:val="clear"/>
          <w:vAlign w:val="center"/>
        </w:tcPr>
        <w:p>
          <w:pPr>
            <w:pStyle w:val="Intestsx"/>
            <w:spacing w:before="60" w:after="0"/>
            <w:rPr>
              <w:rFonts w:ascii="Arial" w:hAnsi="Arial"/>
              <w:b/>
              <w:b/>
              <w:sz w:val="24"/>
              <w:szCs w:val="24"/>
            </w:rPr>
          </w:pPr>
          <w:r>
            <w:rPr>
              <w:rFonts w:ascii="Arial" w:hAnsi="Arial"/>
              <w:b/>
              <w:sz w:val="24"/>
              <w:szCs w:val="24"/>
            </w:rPr>
            <w:t>FIORE SRL</w:t>
          </w:r>
        </w:p>
      </w:tc>
      <w:tc>
        <w:tcPr>
          <w:tcW w:w="5386" w:type="dxa"/>
          <w:tcBorders>
            <w:top w:val="double" w:sz="4" w:space="0" w:color="00000A"/>
            <w:left w:val="single" w:sz="6" w:space="0" w:color="00000A"/>
            <w:bottom w:val="double" w:sz="4" w:space="0" w:color="00000A"/>
            <w:right w:val="single" w:sz="6" w:space="0" w:color="00000A"/>
            <w:insideH w:val="double" w:sz="4" w:space="0" w:color="00000A"/>
            <w:insideV w:val="single" w:sz="6" w:space="0" w:color="00000A"/>
          </w:tcBorders>
          <w:shd w:fill="auto" w:val="clear"/>
          <w:vAlign w:val="center"/>
        </w:tcPr>
        <w:p>
          <w:pPr>
            <w:pStyle w:val="Intestgrande"/>
            <w:rPr>
              <w:rFonts w:ascii="Arial" w:hAnsi="Arial" w:cs="Arial"/>
              <w:color w:val="FF0000"/>
              <w:sz w:val="20"/>
              <w:lang w:val="en"/>
            </w:rPr>
          </w:pPr>
          <w:r>
            <w:rPr>
              <w:rFonts w:cs="Arial" w:ascii="Arial" w:hAnsi="Arial"/>
              <w:color w:val="FF0000"/>
              <w:sz w:val="20"/>
              <w:lang w:val="en"/>
            </w:rPr>
            <w:t>Informations for Crew of ships during loading / unloading goods in the Ortona Port - Risks deriving from interference between loading / unloading operations</w:t>
          </w:r>
        </w:p>
        <w:p>
          <w:pPr>
            <w:pStyle w:val="Intestgrande"/>
            <w:rPr/>
          </w:pPr>
          <w:r>
            <w:rPr>
              <w:rStyle w:val="Shorttext"/>
              <w:rFonts w:cs="Arial" w:ascii="Arial" w:hAnsi="Arial"/>
              <w:b w:val="false"/>
              <w:color w:val="222222"/>
              <w:sz w:val="14"/>
              <w:szCs w:val="14"/>
              <w:lang w:val="en"/>
            </w:rPr>
            <w:t>pursuant to Legislative Decree 81/2008 and Legislative Decree 272/1999</w:t>
          </w:r>
        </w:p>
      </w:tc>
      <w:tc>
        <w:tcPr>
          <w:tcW w:w="2264" w:type="dxa"/>
          <w:tcBorders>
            <w:top w:val="double" w:sz="4" w:space="0" w:color="00000A"/>
            <w:left w:val="single" w:sz="6" w:space="0" w:color="00000A"/>
            <w:bottom w:val="double" w:sz="4" w:space="0" w:color="00000A"/>
            <w:right w:val="double" w:sz="4" w:space="0" w:color="00000A"/>
            <w:insideH w:val="double" w:sz="4" w:space="0" w:color="00000A"/>
            <w:insideV w:val="double" w:sz="4" w:space="0" w:color="00000A"/>
          </w:tcBorders>
          <w:shd w:fill="auto" w:val="clear"/>
          <w:vAlign w:val="center"/>
        </w:tcPr>
        <w:p>
          <w:pPr>
            <w:pStyle w:val="Intestdx"/>
            <w:rPr/>
          </w:pPr>
          <w:r>
            <w:rPr>
              <w:rStyle w:val="Shorttext"/>
              <w:rFonts w:cs="Arial" w:ascii="Arial" w:hAnsi="Arial"/>
              <w:color w:val="222222"/>
              <w:sz w:val="16"/>
              <w:szCs w:val="16"/>
              <w:lang w:val="en"/>
            </w:rPr>
            <w:t>Review 00 of 07/08/2018</w:t>
          </w:r>
        </w:p>
        <w:p>
          <w:pPr>
            <w:pStyle w:val="Intestdx"/>
            <w:rPr/>
          </w:pPr>
          <w:r>
            <w:rPr>
              <w:rFonts w:cs="Arial" w:ascii="Arial" w:hAnsi="Arial"/>
              <w:color w:val="222222"/>
              <w:sz w:val="16"/>
              <w:szCs w:val="16"/>
              <w:lang w:val="en"/>
            </w:rPr>
            <w:br/>
          </w:r>
          <w:r>
            <w:rPr>
              <w:rStyle w:val="Shorttext"/>
              <w:rFonts w:cs="Arial" w:ascii="Arial" w:hAnsi="Arial"/>
              <w:color w:val="222222"/>
              <w:sz w:val="16"/>
              <w:szCs w:val="16"/>
              <w:lang w:val="en"/>
            </w:rPr>
            <w:t>Page 1 of 1</w:t>
          </w:r>
        </w:p>
      </w:tc>
    </w:tr>
  </w:tbl>
  <w:p>
    <w:pPr>
      <w:pStyle w:val="Normal"/>
      <w:widowControl w:val="false"/>
      <w:spacing w:lineRule="auto" w:line="276" w:before="0" w:after="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0"/>
        <w:szCs w:val="22"/>
        <w:lang w:val="it-IT" w:eastAsia="it-IT" w:bidi="ar-SA"/>
      </w:rPr>
    </w:rPrDefault>
    <w:pPrDefault>
      <w:pPr/>
    </w:pPrDefault>
  </w:docDefaults>
  <w:style w:type="paragraph" w:styleId="Normal">
    <w:name w:val="Normal"/>
    <w:qFormat/>
    <w:pPr>
      <w:widowControl/>
      <w:overflowPunct w:val="false"/>
      <w:bidi w:val="0"/>
      <w:spacing w:lineRule="auto" w:line="259" w:before="0" w:after="160"/>
      <w:jc w:val="left"/>
    </w:pPr>
    <w:rPr>
      <w:rFonts w:ascii="Calibri" w:hAnsi="Calibri" w:eastAsia="Calibri" w:cs="Calibri"/>
      <w:color w:val="auto"/>
      <w:kern w:val="0"/>
      <w:sz w:val="22"/>
      <w:szCs w:val="22"/>
      <w:lang w:val="it-IT" w:eastAsia="it-IT" w:bidi="ar-SA"/>
    </w:rPr>
  </w:style>
  <w:style w:type="paragraph" w:styleId="Titolo1">
    <w:name w:val="Heading 1"/>
    <w:basedOn w:val="Normal"/>
    <w:qFormat/>
    <w:pPr>
      <w:keepNext w:val="true"/>
      <w:keepLines/>
      <w:spacing w:before="480" w:after="120"/>
      <w:outlineLvl w:val="0"/>
    </w:pPr>
    <w:rPr>
      <w:b/>
      <w:sz w:val="48"/>
      <w:szCs w:val="48"/>
    </w:rPr>
  </w:style>
  <w:style w:type="paragraph" w:styleId="Titolo2">
    <w:name w:val="Heading 2"/>
    <w:basedOn w:val="Normal"/>
    <w:qFormat/>
    <w:pPr>
      <w:keepNext w:val="true"/>
      <w:keepLines/>
      <w:spacing w:before="360" w:after="80"/>
      <w:outlineLvl w:val="1"/>
    </w:pPr>
    <w:rPr>
      <w:b/>
      <w:sz w:val="36"/>
      <w:szCs w:val="36"/>
    </w:rPr>
  </w:style>
  <w:style w:type="paragraph" w:styleId="Titolo3">
    <w:name w:val="Heading 3"/>
    <w:basedOn w:val="Normal"/>
    <w:qFormat/>
    <w:pPr>
      <w:keepNext w:val="true"/>
      <w:keepLines/>
      <w:spacing w:before="280" w:after="80"/>
      <w:outlineLvl w:val="2"/>
    </w:pPr>
    <w:rPr>
      <w:b/>
      <w:sz w:val="28"/>
      <w:szCs w:val="28"/>
    </w:rPr>
  </w:style>
  <w:style w:type="paragraph" w:styleId="Titolo4">
    <w:name w:val="Heading 4"/>
    <w:basedOn w:val="Normal"/>
    <w:qFormat/>
    <w:pPr>
      <w:keepNext w:val="true"/>
      <w:keepLines/>
      <w:spacing w:before="240" w:after="40"/>
      <w:outlineLvl w:val="3"/>
    </w:pPr>
    <w:rPr>
      <w:b/>
      <w:sz w:val="24"/>
      <w:szCs w:val="24"/>
    </w:rPr>
  </w:style>
  <w:style w:type="paragraph" w:styleId="Titolo5">
    <w:name w:val="Heading 5"/>
    <w:basedOn w:val="Normal"/>
    <w:qFormat/>
    <w:pPr>
      <w:keepNext w:val="true"/>
      <w:keepLines/>
      <w:spacing w:before="220" w:after="40"/>
      <w:outlineLvl w:val="4"/>
    </w:pPr>
    <w:rPr>
      <w:b/>
    </w:rPr>
  </w:style>
  <w:style w:type="paragraph" w:styleId="Titolo6">
    <w:name w:val="Heading 6"/>
    <w:basedOn w:val="Normal"/>
    <w:qFormat/>
    <w:pPr>
      <w:keepNext w:val="true"/>
      <w:keepLines/>
      <w:spacing w:before="200" w:after="40"/>
      <w:outlineLvl w:val="5"/>
    </w:pPr>
    <w:rPr>
      <w:b/>
      <w:sz w:val="20"/>
      <w:szCs w:val="20"/>
    </w:rPr>
  </w:style>
  <w:style w:type="character" w:styleId="DefaultParagraphFont">
    <w:name w:val="Default Paragraph Font"/>
    <w:qFormat/>
    <w:rPr/>
  </w:style>
  <w:style w:type="character" w:styleId="IntestazioneCarattere">
    <w:name w:val="Intestazione Carattere"/>
    <w:basedOn w:val="DefaultParagraphFont"/>
    <w:qFormat/>
    <w:rPr/>
  </w:style>
  <w:style w:type="character" w:styleId="PidipaginaCarattere">
    <w:name w:val="Piè di pagina Carattere"/>
    <w:basedOn w:val="DefaultParagraphFont"/>
    <w:qFormat/>
    <w:rPr/>
  </w:style>
  <w:style w:type="character" w:styleId="Corpodeltesto3Carattere">
    <w:name w:val="Corpo del testo 3 Carattere"/>
    <w:basedOn w:val="DefaultParagraphFont"/>
    <w:qFormat/>
    <w:rPr>
      <w:rFonts w:ascii="Times New Roman" w:hAnsi="Times New Roman" w:eastAsia="Times New Roman" w:cs="Times New Roman"/>
      <w:color w:val="FF0000"/>
      <w:sz w:val="24"/>
      <w:szCs w:val="20"/>
      <w:lang w:eastAsia="it-IT"/>
    </w:rPr>
  </w:style>
  <w:style w:type="character" w:styleId="TestofumettoCarattere">
    <w:name w:val="Testo fumetto Carattere"/>
    <w:basedOn w:val="DefaultParagraphFont"/>
    <w:qFormat/>
    <w:rPr>
      <w:rFonts w:ascii="Tahoma" w:hAnsi="Tahoma" w:cs="Tahoma"/>
      <w:sz w:val="16"/>
      <w:szCs w:val="16"/>
    </w:rPr>
  </w:style>
  <w:style w:type="character" w:styleId="Shorttext">
    <w:name w:val="short_text"/>
    <w:basedOn w:val="DefaultParagraphFont"/>
    <w:qFormat/>
    <w:rPr/>
  </w:style>
  <w:style w:type="paragraph" w:styleId="Titolo">
    <w:name w:val="Titolo"/>
    <w:basedOn w:val="Normal"/>
    <w:next w:val="Corpodeltesto"/>
    <w:qFormat/>
    <w:pPr>
      <w:keepNext w:val="true"/>
      <w:spacing w:before="240" w:after="120"/>
    </w:pPr>
    <w:rPr>
      <w:rFonts w:ascii="Liberation Sans" w:hAnsi="Liberation Sans" w:eastAsia="Lucida Sans Unicode" w:cs="Mangal"/>
      <w:sz w:val="28"/>
      <w:szCs w:val="28"/>
    </w:rPr>
  </w:style>
  <w:style w:type="paragraph" w:styleId="Corpodeltesto">
    <w:name w:val="Body Text"/>
    <w:basedOn w:val="Normal"/>
    <w:pPr>
      <w:spacing w:lineRule="auto" w:line="288" w:before="0" w:after="140"/>
    </w:pPr>
    <w:rPr/>
  </w:style>
  <w:style w:type="paragraph" w:styleId="Elenco">
    <w:name w:val="List"/>
    <w:basedOn w:val="Corpodeltesto"/>
    <w:pPr/>
    <w:rPr>
      <w:rFonts w:cs="Mangal"/>
    </w:rPr>
  </w:style>
  <w:style w:type="paragraph" w:styleId="Didascalia">
    <w:name w:val="Caption"/>
    <w:basedOn w:val="Normal"/>
    <w:qFormat/>
    <w:pPr>
      <w:suppressLineNumbers/>
      <w:spacing w:before="120" w:after="120"/>
    </w:pPr>
    <w:rPr>
      <w:rFonts w:cs="Mangal"/>
      <w:i/>
      <w:iCs/>
      <w:sz w:val="24"/>
      <w:szCs w:val="24"/>
    </w:rPr>
  </w:style>
  <w:style w:type="paragraph" w:styleId="Indice">
    <w:name w:val="Indice"/>
    <w:basedOn w:val="Normal"/>
    <w:qFormat/>
    <w:pPr>
      <w:suppressLineNumbers/>
    </w:pPr>
    <w:rPr>
      <w:rFonts w:cs="Mangal"/>
    </w:rPr>
  </w:style>
  <w:style w:type="paragraph" w:styleId="Titoloprincipale">
    <w:name w:val="Title"/>
    <w:basedOn w:val="Normal"/>
    <w:qFormat/>
    <w:pPr>
      <w:keepNext w:val="true"/>
      <w:keepLines/>
      <w:spacing w:before="480" w:after="120"/>
    </w:pPr>
    <w:rPr>
      <w:b/>
      <w:sz w:val="72"/>
      <w:szCs w:val="72"/>
    </w:rPr>
  </w:style>
  <w:style w:type="paragraph" w:styleId="Intestazione">
    <w:name w:val="Header"/>
    <w:basedOn w:val="Normal"/>
    <w:pPr>
      <w:tabs>
        <w:tab w:val="center" w:pos="4819" w:leader="none"/>
        <w:tab w:val="right" w:pos="9638" w:leader="none"/>
      </w:tabs>
      <w:spacing w:lineRule="auto" w:line="240" w:before="0" w:after="0"/>
    </w:pPr>
    <w:rPr/>
  </w:style>
  <w:style w:type="paragraph" w:styleId="Pidipagina">
    <w:name w:val="Footer"/>
    <w:basedOn w:val="Normal"/>
    <w:pPr>
      <w:tabs>
        <w:tab w:val="center" w:pos="4819" w:leader="none"/>
        <w:tab w:val="right" w:pos="9638" w:leader="none"/>
      </w:tabs>
      <w:spacing w:lineRule="auto" w:line="240" w:before="0" w:after="0"/>
    </w:pPr>
    <w:rPr/>
  </w:style>
  <w:style w:type="paragraph" w:styleId="BodyText3">
    <w:name w:val="Body Text 3"/>
    <w:basedOn w:val="Normal"/>
    <w:qFormat/>
    <w:pPr>
      <w:spacing w:lineRule="auto" w:line="360" w:before="0" w:after="0"/>
      <w:jc w:val="both"/>
    </w:pPr>
    <w:rPr>
      <w:rFonts w:ascii="Times New Roman" w:hAnsi="Times New Roman" w:eastAsia="Times New Roman" w:cs="Times New Roman"/>
      <w:color w:val="FF0000"/>
      <w:sz w:val="24"/>
      <w:szCs w:val="20"/>
    </w:rPr>
  </w:style>
  <w:style w:type="paragraph" w:styleId="ListParagraph">
    <w:name w:val="List Paragraph"/>
    <w:basedOn w:val="Normal"/>
    <w:qFormat/>
    <w:pPr>
      <w:spacing w:before="0" w:after="160"/>
      <w:ind w:left="720" w:right="0" w:hanging="0"/>
      <w:contextualSpacing/>
    </w:pPr>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Sottotitolo">
    <w:name w:val="Subtitle"/>
    <w:basedOn w:val="Normal"/>
    <w:qFormat/>
    <w:pPr>
      <w:keepNext w:val="true"/>
      <w:keepLines/>
      <w:spacing w:before="360" w:after="80"/>
    </w:pPr>
    <w:rPr>
      <w:rFonts w:ascii="Georgia" w:hAnsi="Georgia" w:eastAsia="Georgia" w:cs="Georgia"/>
      <w:i/>
      <w:color w:val="666666"/>
      <w:sz w:val="48"/>
      <w:szCs w:val="48"/>
    </w:rPr>
  </w:style>
  <w:style w:type="paragraph" w:styleId="Intestsx">
    <w:name w:val="Intest sx"/>
    <w:basedOn w:val="Normal"/>
    <w:qFormat/>
    <w:pPr>
      <w:spacing w:lineRule="auto" w:line="240" w:before="60" w:after="0"/>
      <w:jc w:val="center"/>
    </w:pPr>
    <w:rPr>
      <w:rFonts w:ascii="Times New Roman" w:hAnsi="Times New Roman" w:eastAsia="Times New Roman" w:cs="Times New Roman"/>
      <w:sz w:val="12"/>
      <w:szCs w:val="20"/>
    </w:rPr>
  </w:style>
  <w:style w:type="paragraph" w:styleId="Intestgrande">
    <w:name w:val="Intest grande"/>
    <w:basedOn w:val="Normal"/>
    <w:qFormat/>
    <w:pPr>
      <w:spacing w:lineRule="auto" w:line="240" w:before="0" w:after="0"/>
      <w:jc w:val="center"/>
    </w:pPr>
    <w:rPr>
      <w:rFonts w:ascii="Arial Narrow" w:hAnsi="Arial Narrow" w:eastAsia="Times New Roman" w:cs="Times New Roman"/>
      <w:b/>
      <w:sz w:val="32"/>
      <w:szCs w:val="20"/>
    </w:rPr>
  </w:style>
  <w:style w:type="paragraph" w:styleId="Intestdx">
    <w:name w:val="Intest dx"/>
    <w:basedOn w:val="Normal"/>
    <w:qFormat/>
    <w:pPr>
      <w:spacing w:lineRule="auto" w:line="240" w:before="0" w:after="0"/>
      <w:jc w:val="center"/>
    </w:pPr>
    <w:rPr>
      <w:rFonts w:ascii="Times New Roman" w:hAnsi="Times New Roman" w:eastAsia="Times New Roman" w:cs="Times New Roman"/>
      <w:sz w:val="20"/>
      <w:szCs w:val="20"/>
    </w:rPr>
  </w:style>
  <w:style w:type="paragraph" w:styleId="Contenutocornice">
    <w:name w:val="Contenuto cornice"/>
    <w:basedOn w:val="Normal"/>
    <w:qFormat/>
    <w:pPr/>
    <w:rPr/>
  </w:style>
  <w:style w:type="paragraph" w:styleId="Contenutotabella">
    <w:name w:val="Contenuto tabella"/>
    <w:basedOn w:val="Normal"/>
    <w:qFormat/>
    <w:pPr>
      <w:suppressLineNumbers/>
    </w:pPr>
    <w:rPr/>
  </w:style>
  <w:style w:type="paragraph" w:styleId="Titolotabella">
    <w:name w:val="Titolo tabella"/>
    <w:basedOn w:val="Contenutotabella"/>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210</TotalTime>
  <Application>LibreOffice/6.0.7.3$Linux_X86_64 LibreOffice_project/dc89aa7a9eabfd848af146d5086077aeed2ae4a5</Application>
  <Pages>1</Pages>
  <Words>401</Words>
  <Characters>2062</Characters>
  <CharactersWithSpaces>2435</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2018-08-07T08:45:00Z</dcterms:created>
  <dc:creator>Achille</dc:creator>
  <dc:description/>
  <dc:language>it-IT</dc:language>
  <cp:lastModifiedBy/>
  <cp:lastPrinted>2018-08-07T13:46:00Z</cp:lastPrinted>
  <dcterms:modified xsi:type="dcterms:W3CDTF">2022-09-05T18:27:23Z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