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keepNext w:val="true"/>
              <w:widowControl w:val="false"/>
              <w:bidi w:val="0"/>
              <w:jc w:val="center"/>
              <w:rPr>
                <w:rFonts w:ascii="Arial" w:hAnsi="Arial"/>
              </w:rPr>
            </w:pPr>
            <w:r>
              <w:rPr/>
              <w:drawing>
                <wp:inline distT="0" distB="0" distL="0" distR="0">
                  <wp:extent cx="1798955" cy="822960"/>
                  <wp:effectExtent l="0" t="0" r="0" b="0"/>
                  <wp:docPr id="1" name="Immagin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0" t="-44" r="-20" b="-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8955" cy="822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aps/>
                <w:sz w:val="14"/>
                <w:szCs w:val="14"/>
              </w:rPr>
            </w:pPr>
            <w:r>
              <w:rPr>
                <w:rFonts w:ascii="Arial" w:hAnsi="Arial"/>
                <w:caps/>
                <w:sz w:val="14"/>
                <w:szCs w:val="14"/>
              </w:rPr>
              <w:t>Dipartimento dei Vigili del fuoco,</w:t>
            </w:r>
          </w:p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aps/>
                <w:sz w:val="14"/>
                <w:szCs w:val="14"/>
              </w:rPr>
            </w:pPr>
            <w:r>
              <w:rPr>
                <w:rFonts w:ascii="Arial" w:hAnsi="Arial"/>
                <w:caps/>
                <w:sz w:val="14"/>
                <w:szCs w:val="14"/>
              </w:rPr>
              <w:t>del Soccorso pubblico e Difesa civile</w:t>
            </w:r>
          </w:p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aps/>
                <w:sz w:val="20"/>
              </w:rPr>
            </w:pPr>
            <w:r>
              <w:rPr>
                <w:rFonts w:ascii="Arial" w:hAnsi="Arial"/>
                <w:caps/>
                <w:sz w:val="20"/>
              </w:rPr>
              <w:t xml:space="preserve">Comando Vigili del fuoco di </w:t>
            </w:r>
            <w:r>
              <w:rPr>
                <w:rFonts w:ascii="Arial" w:hAnsi="Arial"/>
                <w:caps/>
                <w:sz w:val="20"/>
              </w:rPr>
              <w:fldChar w:fldCharType="begin"/>
            </w:r>
            <w:r>
              <w:rPr>
                <w:rFonts w:ascii="Arial" w:hAnsi="Arial"/>
                <w:caps/>
                <w:sz w:val="20"/>
              </w:rPr>
              <w:instrText xml:space="preserve"> MERGEFIELD $NOME_COMANDO </w:instrText>
            </w:r>
            <w:r>
              <w:rPr>
                <w:rFonts w:ascii="Arial" w:hAnsi="Arial"/>
                <w:caps/>
                <w:sz w:val="20"/>
              </w:rPr>
              <w:fldChar w:fldCharType="separate"/>
            </w:r>
            <w:r>
              <w:rPr>
                <w:rFonts w:ascii="Arial" w:hAnsi="Arial"/>
                <w:caps/>
                <w:sz w:val="20"/>
              </w:rPr>
              <w:t>&lt;$NOME_COMANDO&gt;</w:t>
            </w:r>
            <w:r>
              <w:rPr>
                <w:rFonts w:ascii="Arial" w:hAnsi="Arial"/>
                <w:caps/>
                <w:sz w:val="20"/>
              </w:rPr>
              <w:fldChar w:fldCharType="end"/>
            </w:r>
          </w:p>
          <w:p>
            <w:pPr>
              <w:pStyle w:val="Normal"/>
              <w:widowControl w:val="false"/>
              <w:bidi w:val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Ufficio Prevenzione incendi</w:t>
            </w:r>
          </w:p>
          <w:p>
            <w:pPr>
              <w:pStyle w:val="Normal"/>
              <w:widowControl w:val="false"/>
              <w:bidi w:val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fldChar w:fldCharType="begin"/>
            </w:r>
            <w:r>
              <w:rPr>
                <w:i/>
                <w:iCs/>
                <w:sz w:val="20"/>
                <w:szCs w:val="20"/>
              </w:rPr>
              <w:instrText xml:space="preserve"> MERGEFIELD $PEC_COMANDO </w:instrText>
            </w:r>
            <w:r>
              <w:rPr>
                <w:i/>
                <w:iCs/>
                <w:sz w:val="20"/>
                <w:szCs w:val="20"/>
              </w:rPr>
              <w:fldChar w:fldCharType="separate"/>
            </w:r>
            <w:r>
              <w:rPr>
                <w:i/>
                <w:iCs/>
                <w:sz w:val="20"/>
                <w:szCs w:val="20"/>
              </w:rPr>
              <w:t>&lt;$PEC_COMANDO&gt;</w:t>
            </w:r>
            <w:r>
              <w:rPr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4820" w:type="dxa"/>
            <w:tcBorders/>
            <w:vAlign w:val="center"/>
          </w:tcPr>
          <w:p>
            <w:pPr>
              <w:pStyle w:val="Contenutotabellauser"/>
              <w:widowControl w:val="false"/>
              <w:bidi w:val="0"/>
              <w:jc w:val="center"/>
              <w:rPr/>
            </w:pPr>
            <w:r>
              <w:rPr/>
              <w:fldChar w:fldCharType="begin"/>
            </w:r>
            <w:r>
              <w:rPr/>
              <w:instrText xml:space="preserve"> MERGEFIELD $COMUNE_COMANDO </w:instrText>
            </w:r>
            <w:r>
              <w:rPr/>
              <w:fldChar w:fldCharType="separate"/>
            </w:r>
            <w:r>
              <w:rPr/>
              <w:t>&lt;$COMUNE_COMANDO&gt;</w:t>
            </w:r>
            <w:r>
              <w:rPr/>
              <w:fldChar w:fldCharType="end"/>
            </w:r>
            <w:r>
              <w:rPr/>
              <w:t xml:space="preserve">, </w:t>
            </w:r>
            <w:r>
              <w:rPr>
                <w:i/>
                <w:iCs/>
              </w:rPr>
              <w:t>data del protocollo</w:t>
            </w:r>
          </w:p>
          <w:p>
            <w:pPr>
              <w:pStyle w:val="Contenutotabellauser"/>
              <w:widowControl w:val="false"/>
              <w:bidi w:val="0"/>
              <w:jc w:val="center"/>
              <w:rPr/>
            </w:pPr>
            <w:r>
              <w:rPr/>
              <w:t>Pratica PI n°</w:t>
            </w:r>
            <w:r>
              <w:rPr/>
              <w:fldChar w:fldCharType="begin"/>
            </w:r>
            <w:r>
              <w:rPr/>
              <w:instrText xml:space="preserve"> MERGEFIELD $NUM_PRATICA </w:instrText>
            </w:r>
            <w:r>
              <w:rPr/>
              <w:fldChar w:fldCharType="separate"/>
            </w:r>
            <w:r>
              <w:rPr/>
              <w:t>&lt;$NUM_PRATICA&gt;</w:t>
            </w:r>
            <w:r>
              <w:rPr/>
              <w:fldChar w:fldCharType="end"/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widowControl w:val="false"/>
              <w:jc w:val="right"/>
              <w:rPr/>
            </w:pPr>
            <w:r>
              <w:rPr/>
              <w:t>All’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Amministrazione procedente</w:t>
            </w:r>
          </w:p>
          <w:p>
            <w:pPr>
              <w:pStyle w:val="Normal"/>
              <w:widowControl w:val="false"/>
              <w:rPr/>
            </w:pPr>
            <w:r>
              <w:rPr/>
              <w:t xml:space="preserve">Comune di </w:t>
            </w:r>
            <w:r>
              <w:rPr/>
              <w:fldChar w:fldCharType="begin"/>
            </w:r>
            <w:r>
              <w:rPr/>
              <w:instrText xml:space="preserve"> MERGEFIELD $COMUNE_ATTIVITA </w:instrText>
            </w:r>
            <w:r>
              <w:rPr/>
              <w:fldChar w:fldCharType="separate"/>
            </w:r>
            <w:r>
              <w:rPr/>
              <w:t>&lt;$COMUNE_ATTIVITA&gt;</w:t>
            </w:r>
            <w:r>
              <w:rPr/>
              <w:fldChar w:fldCharType="end"/>
            </w:r>
          </w:p>
        </w:tc>
      </w:tr>
    </w:tbl>
    <w:p>
      <w:pPr>
        <w:pStyle w:val="BodyText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134"/>
        <w:gridCol w:w="8504"/>
      </w:tblGrid>
      <w:tr>
        <w:trPr>
          <w:cantSplit w:val="true"/>
        </w:trPr>
        <w:tc>
          <w:tcPr>
            <w:tcW w:w="113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Oggetto:</w:t>
            </w:r>
          </w:p>
        </w:tc>
        <w:tc>
          <w:tcPr>
            <w:tcW w:w="8504" w:type="dxa"/>
            <w:tcBorders/>
          </w:tcPr>
          <w:p>
            <w:pPr>
              <w:pStyle w:val="Normal"/>
              <w:widowControl w:val="false"/>
              <w:rPr>
                <w:b/>
                <w:bCs/>
              </w:rPr>
            </w:pPr>
            <w:r>
              <w:rPr>
                <w:rFonts w:eastAsia="Noto Serif CJK SC" w:cs="Lohit Devanagari"/>
                <w:b/>
                <w:bCs/>
                <w:color w:val="auto"/>
                <w:kern w:val="2"/>
                <w:sz w:val="24"/>
                <w:szCs w:val="24"/>
                <w:lang w:val="it-IT" w:eastAsia="zh-CN" w:bidi="hi-IN"/>
              </w:rPr>
              <w:t>Richiesta regolarizzazione commissione comunale di vigilanza</w:t>
            </w:r>
          </w:p>
          <w:p>
            <w:pPr>
              <w:pStyle w:val="Normal"/>
              <w:widowControl w:val="false"/>
              <w:rPr>
                <w:b/>
                <w:bCs/>
              </w:rPr>
            </w:pPr>
            <w:r>
              <w:rPr>
                <w:rFonts w:eastAsia="Noto Serif CJK SC" w:cs="Lohit Devanagari"/>
                <w:b/>
                <w:bCs/>
                <w:color w:val="auto"/>
                <w:kern w:val="2"/>
                <w:sz w:val="24"/>
                <w:szCs w:val="24"/>
                <w:lang w:val="it-IT" w:eastAsia="zh-CN" w:bidi="hi-IN"/>
              </w:rPr>
              <w:t>per pubblico spettacolo</w:t>
            </w:r>
          </w:p>
          <w:p>
            <w:pPr>
              <w:pStyle w:val="Normal"/>
              <w:widowControl w:val="false"/>
              <w:rPr/>
            </w:pPr>
            <w:r>
              <w:rPr/>
              <w:t xml:space="preserve">per </w:t>
            </w:r>
            <w:r>
              <w:rPr/>
              <w:fldChar w:fldCharType="begin"/>
            </w:r>
            <w:r>
              <w:rPr/>
              <w:instrText xml:space="preserve"> MERGEFIELD $DESCRIZIONE_RICHIESTA </w:instrText>
            </w:r>
            <w:r>
              <w:rPr/>
              <w:fldChar w:fldCharType="separate"/>
            </w:r>
            <w:r>
              <w:rPr/>
              <w:t>&lt;$DESCRIZIONE_RICHIESTA&gt;</w:t>
            </w:r>
            <w:r>
              <w:rPr/>
              <w:fldChar w:fldCharType="end"/>
            </w:r>
            <w:r>
              <w:rPr/>
              <w:t xml:space="preserve"> con prot. </w:t>
            </w:r>
            <w:r>
              <w:rPr/>
              <w:fldChar w:fldCharType="begin"/>
            </w:r>
            <w:r>
              <w:rPr/>
              <w:instrText xml:space="preserve"> MERGEFIELD $NUM_PROT_RICHIESTA </w:instrText>
            </w:r>
            <w:r>
              <w:rPr/>
              <w:fldChar w:fldCharType="separate"/>
            </w:r>
            <w:r>
              <w:rPr/>
              <w:t>&lt;$NUM_PROT_RICHIESTA&gt;</w:t>
            </w:r>
            <w:r>
              <w:rPr/>
              <w:fldChar w:fldCharType="end"/>
            </w:r>
            <w:r>
              <w:rPr/>
              <w:t xml:space="preserve"> del </w:t>
            </w:r>
            <w:r>
              <w:rPr/>
              <w:fldChar w:fldCharType="begin"/>
            </w:r>
            <w:r>
              <w:rPr/>
              <w:instrText xml:space="preserve"> MERGEFIELD $DATA_RICHIESTA </w:instrText>
            </w:r>
            <w:r>
              <w:rPr/>
              <w:fldChar w:fldCharType="separate"/>
            </w:r>
            <w:r>
              <w:rPr/>
              <w:t>&lt;$DATA_RICHIESTA&gt;</w:t>
            </w:r>
            <w:r>
              <w:rPr/>
              <w:fldChar w:fldCharType="end"/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lang w:val="it-IT"/>
        </w:rPr>
        <w:t>In relazione alla convocazione</w:t>
      </w:r>
      <w:r>
        <w:rPr>
          <w:rFonts w:eastAsia="Noto Serif CJK SC" w:cs="Lohit Devanagari"/>
          <w:color w:val="auto"/>
          <w:kern w:val="2"/>
          <w:sz w:val="24"/>
          <w:szCs w:val="24"/>
          <w:lang w:val="it-IT" w:eastAsia="zh-CN" w:bidi="hi-IN"/>
        </w:rPr>
        <w:t xml:space="preserve"> in oggetto, questo Comando ha riscontrato le seguenti 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it-IT" w:eastAsia="zh-CN" w:bidi="hi-IN"/>
        </w:rPr>
        <w:t>irregolarità</w:t>
      </w:r>
      <w:r>
        <w:rPr>
          <w:rFonts w:eastAsia="Noto Serif CJK SC" w:cs="Lohit Devanagari"/>
          <w:color w:val="auto"/>
          <w:kern w:val="2"/>
          <w:sz w:val="24"/>
          <w:szCs w:val="24"/>
          <w:lang w:val="it-IT" w:eastAsia="zh-CN" w:bidi="hi-IN"/>
        </w:rPr>
        <w:t xml:space="preserve"> nella documentazione inviata:</w:t>
      </w:r>
    </w:p>
    <w:p>
      <w:pPr>
        <w:pStyle w:val="BodyText"/>
        <w:rPr/>
      </w:pPr>
      <w:r>
        <w:fldChar w:fldCharType="begin">
          <w:ffData>
            <w:name w:val="Bookmark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0" w:name="Bookmark"/>
      <w:bookmarkStart w:id="1" w:name="Bookmark"/>
      <w:bookmarkEnd w:id="1"/>
      <w:r>
        <w:rPr/>
      </w:r>
      <w:r>
        <w:rPr/>
        <w:fldChar w:fldCharType="end"/>
      </w:r>
      <w:bookmarkStart w:id="2" w:name="Copia_Bookmark_1"/>
      <w:bookmarkStart w:id="3" w:name="Copia_Bookmark_1"/>
      <w:bookmarkEnd w:id="2"/>
      <w:bookmarkEnd w:id="3"/>
      <w:r>
        <w:rPr/>
        <w:t xml:space="preserve"> </w:t>
      </w:r>
      <w:r>
        <w:rPr>
          <w:rStyle w:val="DamodificareEG"/>
        </w:rPr>
        <w:t xml:space="preserve">non è indicato lo </w:t>
      </w:r>
      <w:r>
        <w:rPr>
          <w:rStyle w:val="DamodificareEG"/>
          <w:b/>
          <w:bCs/>
        </w:rPr>
        <w:t>specifico compito</w:t>
      </w:r>
      <w:r>
        <w:rPr>
          <w:rStyle w:val="DamodificareEG"/>
        </w:rPr>
        <w:t xml:space="preserve"> assegnato alla commissione oggetto di convocazione tra quelli indicati all’art. 141 del regio decreto 6 maggio 1940, n. 635;</w:t>
      </w:r>
    </w:p>
    <w:p>
      <w:pPr>
        <w:pStyle w:val="BodyText"/>
        <w:rPr/>
      </w:pPr>
      <w:r>
        <w:fldChar w:fldCharType="begin">
          <w:ffData>
            <w:name w:val="Bookmark Copy 2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4" w:name="Bookmark_Copy_2"/>
      <w:bookmarkStart w:id="5" w:name="Bookmark_Copy_2"/>
      <w:bookmarkEnd w:id="5"/>
      <w:r>
        <w:rPr/>
      </w:r>
      <w:r>
        <w:rPr/>
        <w:fldChar w:fldCharType="end"/>
      </w:r>
      <w:bookmarkStart w:id="6" w:name="Copia_Bookmark_Copy_2_1"/>
      <w:bookmarkStart w:id="7" w:name="Copia_Bookmark_Copy_2_1"/>
      <w:bookmarkStart w:id="8" w:name="Bookmark_Copy_2"/>
      <w:bookmarkEnd w:id="6"/>
      <w:bookmarkEnd w:id="7"/>
      <w:bookmarkEnd w:id="8"/>
      <w:r>
        <w:rPr/>
        <w:t xml:space="preserve"> </w:t>
      </w:r>
      <w:r>
        <w:rPr>
          <w:rStyle w:val="DamodificareEG"/>
          <w:b w:val="false"/>
          <w:bCs w:val="false"/>
        </w:rPr>
        <w:t xml:space="preserve">[se LPS inserito in manifestazione pubblica] non è specificato quale ambito dell’attività, delimitato e munito di controllo degli accessi, sia da intendersi </w:t>
      </w:r>
      <w:r>
        <w:rPr>
          <w:rStyle w:val="DamodificareEG"/>
          <w:b/>
          <w:bCs/>
        </w:rPr>
        <w:t>pubblico spettacolo o intrattenimento</w:t>
      </w:r>
      <w:r>
        <w:rPr>
          <w:rStyle w:val="DamodificareEG"/>
          <w:b w:val="false"/>
          <w:bCs w:val="false"/>
        </w:rPr>
        <w:t xml:space="preserve">, come definito per analogia all’articolo 1, comma 1 del decreto ministeriale 19 agosto 1996, allegando </w:t>
      </w:r>
      <w:r>
        <w:rPr>
          <w:rStyle w:val="DamodificareEG"/>
          <w:b/>
          <w:bCs/>
        </w:rPr>
        <w:t>apposita planimetria</w:t>
      </w:r>
      <w:r>
        <w:rPr>
          <w:rStyle w:val="DamodificareEG"/>
          <w:b w:val="false"/>
          <w:bCs w:val="false"/>
        </w:rPr>
        <w:t>.</w:t>
      </w:r>
    </w:p>
    <w:p>
      <w:pPr>
        <w:pStyle w:val="BodyText"/>
        <w:rPr/>
      </w:pPr>
      <w:r>
        <w:fldChar w:fldCharType="begin">
          <w:ffData>
            <w:name w:val="Bookmark Copy 3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9" w:name="Bookmark_Copy_3"/>
      <w:bookmarkStart w:id="10" w:name="Bookmark_Copy_3"/>
      <w:bookmarkEnd w:id="10"/>
      <w:r>
        <w:rPr/>
      </w:r>
      <w:r>
        <w:rPr/>
        <w:fldChar w:fldCharType="end"/>
      </w:r>
      <w:bookmarkStart w:id="11" w:name="Copia_Bookmark_Copy_3_1"/>
      <w:bookmarkStart w:id="12" w:name="Copia_Bookmark_Copy_3_1"/>
      <w:bookmarkStart w:id="13" w:name="Bookmark_Copy_3"/>
      <w:bookmarkEnd w:id="11"/>
      <w:bookmarkEnd w:id="12"/>
      <w:bookmarkEnd w:id="13"/>
      <w:r>
        <w:rPr/>
        <w:t xml:space="preserve"> </w:t>
      </w:r>
      <w:r>
        <w:rPr>
          <w:rStyle w:val="DamodificareEG"/>
          <w:b w:val="false"/>
          <w:bCs w:val="false"/>
        </w:rPr>
        <w:t xml:space="preserve">[se attività non soggetta] non è stata inviata </w:t>
      </w:r>
      <w:r>
        <w:rPr>
          <w:rStyle w:val="DamodificareEG"/>
          <w:b/>
          <w:bCs/>
          <w:lang w:val="it-IT"/>
        </w:rPr>
        <w:t>documentazione</w:t>
      </w:r>
      <w:r>
        <w:rPr>
          <w:rStyle w:val="DamodificareEG"/>
          <w:lang w:val="it-IT"/>
        </w:rPr>
        <w:t xml:space="preserve"> attestante la rispondenza dell’attività alla regola dell’arte, in accordo o in analogia a quanto previsto dal DM 7 agosto 2012 per i procedimenti di prevenzione incendi;</w:t>
      </w:r>
    </w:p>
    <w:p>
      <w:pPr>
        <w:pStyle w:val="BodyText"/>
        <w:bidi w:val="0"/>
        <w:rPr/>
      </w:pPr>
      <w:r>
        <w:fldChar w:fldCharType="begin">
          <w:ffData>
            <w:name w:val="Bookmark Copy 3 Copy 1"/>
            <w:enabled/>
            <w:calcOnExit w:val="0"/>
            <w:checkBox>
              <w:sizeAuto/>
            </w:checkBox>
          </w:ffData>
        </w:fldChar>
      </w:r>
      <w:r>
        <w:rPr>
          <w:rStyle w:val="DamodificareEG"/>
          <w:lang w:val="it-IT"/>
        </w:rPr>
        <w:instrText xml:space="preserve"> FORMCHECKBOX </w:instrText>
      </w:r>
      <w:r>
        <w:rPr>
          <w:rStyle w:val="DamodificareEG"/>
          <w:lang w:val="it-IT"/>
        </w:rPr>
        <w:fldChar w:fldCharType="separate"/>
      </w:r>
      <w:bookmarkStart w:id="14" w:name="Bookmark_Copy_3_Copy_1"/>
      <w:bookmarkStart w:id="15" w:name="Bookmark_Copy_3_Copy_1"/>
      <w:bookmarkEnd w:id="15"/>
      <w:r>
        <w:rPr>
          <w:rStyle w:val="DamodificareEG"/>
          <w:lang w:val="it-IT"/>
        </w:rPr>
      </w:r>
      <w:r>
        <w:rPr>
          <w:rStyle w:val="DamodificareEG"/>
          <w:lang w:val="it-IT"/>
        </w:rPr>
        <w:fldChar w:fldCharType="end"/>
      </w:r>
      <w:bookmarkStart w:id="16" w:name="Copia_Bookmark_Copy_3_Copy_1_1"/>
      <w:bookmarkStart w:id="17" w:name="Bookmark_Copy_3_Copy_1_Copy_1"/>
      <w:bookmarkStart w:id="18" w:name="Copia_Bookmark_Copy_3_Copy_1_1"/>
      <w:bookmarkStart w:id="19" w:name="Bookmark_Copy_3_Copy_1"/>
      <w:bookmarkEnd w:id="16"/>
      <w:bookmarkEnd w:id="17"/>
      <w:bookmarkEnd w:id="18"/>
      <w:bookmarkEnd w:id="19"/>
      <w:r>
        <w:rPr>
          <w:rStyle w:val="DamodificareEG"/>
          <w:lang w:val="it-IT"/>
        </w:rPr>
        <w:t xml:space="preserve"> </w:t>
      </w:r>
      <w:r>
        <w:rPr>
          <w:rStyle w:val="DamodificareEG"/>
          <w:b w:val="false"/>
          <w:bCs w:val="false"/>
          <w:lang w:val="it-IT"/>
        </w:rPr>
        <w:t xml:space="preserve">[se nuova attività soggetta] </w:t>
      </w:r>
      <w:r>
        <w:rPr>
          <w:rStyle w:val="DamodificareEG"/>
          <w:rFonts w:eastAsia="Noto Serif CJK SC" w:cs="Lohit Devanagari"/>
          <w:b w:val="false"/>
          <w:bCs w:val="false"/>
          <w:kern w:val="2"/>
          <w:sz w:val="24"/>
          <w:szCs w:val="24"/>
          <w:lang w:val="it-IT" w:eastAsia="zh-CN" w:bidi="hi-IN"/>
        </w:rPr>
        <w:t xml:space="preserve">il responsabile dell’attività non ha ottenuto parere favorevole al </w:t>
      </w:r>
      <w:r>
        <w:rPr>
          <w:rStyle w:val="DamodificareEG"/>
          <w:rFonts w:eastAsia="Noto Serif CJK SC" w:cs="Lohit Devanagari"/>
          <w:b/>
          <w:bCs/>
          <w:kern w:val="2"/>
          <w:sz w:val="24"/>
          <w:szCs w:val="24"/>
          <w:lang w:val="it-IT" w:eastAsia="zh-CN" w:bidi="hi-IN"/>
        </w:rPr>
        <w:t>progetto di sicurezza antincen</w:t>
      </w:r>
      <w:r>
        <w:rPr>
          <w:rStyle w:val="DamodificareEG"/>
          <w:b/>
          <w:bCs/>
          <w:lang w:val="it-IT" w:eastAsia="zh-CN" w:bidi="hi-IN"/>
        </w:rPr>
        <w:t>dio</w:t>
      </w:r>
      <w:r>
        <w:rPr>
          <w:rStyle w:val="DamodificareEG"/>
          <w:lang w:val="it-IT" w:eastAsia="zh-CN" w:bidi="hi-IN"/>
        </w:rPr>
        <w:t xml:space="preserve"> per le a</w:t>
      </w:r>
      <w:r>
        <w:rPr>
          <w:rStyle w:val="DamodificareEG"/>
          <w:rFonts w:eastAsia="Noto Serif CJK SC" w:cs="Lohit Devanagari"/>
          <w:b w:val="false"/>
          <w:bCs w:val="false"/>
          <w:kern w:val="2"/>
          <w:sz w:val="24"/>
          <w:szCs w:val="24"/>
          <w:lang w:val="it-IT" w:eastAsia="zh-CN" w:bidi="hi-IN"/>
        </w:rPr>
        <w:t>ttività soggette di cui al DPR 151/11;</w:t>
      </w:r>
    </w:p>
    <w:p>
      <w:pPr>
        <w:pStyle w:val="BodyText"/>
        <w:rPr/>
      </w:pPr>
      <w:r>
        <w:fldChar w:fldCharType="begin">
          <w:ffData>
            <w:name w:val="Bookmark Copy 5 Copy 1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20" w:name="Bookmark_Copy_5_Copy_1"/>
      <w:bookmarkStart w:id="21" w:name="Bookmark_Copy_5_Copy_1"/>
      <w:bookmarkEnd w:id="21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bookmarkStart w:id="22" w:name="Copia_Bookmark_Copy_5_Copy_1_1"/>
      <w:bookmarkStart w:id="23" w:name="Copia_Bookmark_Copy_5_Copy_1_1"/>
      <w:bookmarkStart w:id="24" w:name="Bookmark_Copy_5_Copy_1"/>
      <w:bookmarkEnd w:id="22"/>
      <w:bookmarkEnd w:id="23"/>
      <w:bookmarkEnd w:id="24"/>
      <w:r>
        <w:rPr>
          <w:sz w:val="24"/>
          <w:szCs w:val="24"/>
        </w:rPr>
        <w:t xml:space="preserve"> </w:t>
      </w:r>
      <w:r>
        <w:rPr>
          <w:rStyle w:val="DamodificareEG"/>
          <w:rFonts w:eastAsia="Noto Serif CJK SC" w:cs="Lohit Devanagari"/>
          <w:b w:val="false"/>
          <w:bCs w:val="false"/>
          <w:kern w:val="2"/>
          <w:sz w:val="24"/>
          <w:szCs w:val="24"/>
          <w:lang w:val="it-IT" w:eastAsia="zh-CN" w:bidi="hi-IN"/>
        </w:rPr>
        <w:t xml:space="preserve">[se attività soggetta in esercizio] il responsabile dell’attività non ha presentato </w:t>
      </w:r>
      <w:r>
        <w:rPr>
          <w:rStyle w:val="DamodificareEG"/>
          <w:rFonts w:eastAsia="Noto Serif CJK SC" w:cs="Lohit Devanagari"/>
          <w:b/>
          <w:bCs/>
          <w:kern w:val="2"/>
          <w:sz w:val="24"/>
          <w:szCs w:val="24"/>
          <w:lang w:val="it-IT" w:eastAsia="zh-CN" w:bidi="hi-IN"/>
        </w:rPr>
        <w:t xml:space="preserve">SCIA o rinnovo della conformità antincendio </w:t>
      </w:r>
      <w:r>
        <w:rPr>
          <w:rStyle w:val="DamodificareEG"/>
          <w:rFonts w:eastAsia="Noto Serif CJK SC" w:cs="Lohit Devanagari"/>
          <w:b w:val="false"/>
          <w:bCs w:val="false"/>
          <w:kern w:val="2"/>
          <w:sz w:val="24"/>
          <w:szCs w:val="24"/>
          <w:lang w:val="it-IT" w:eastAsia="zh-CN" w:bidi="hi-IN"/>
        </w:rPr>
        <w:t>per le attività soggette di cui al DPR 151/11;</w:t>
      </w:r>
    </w:p>
    <w:p>
      <w:pPr>
        <w:pStyle w:val="BodyText"/>
        <w:rPr/>
      </w:pPr>
      <w:r>
        <w:fldChar w:fldCharType="begin">
          <w:ffData>
            <w:name w:val="Bookmark Copy 2 Copy 1 Copy 1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25" w:name="Bookmark_Copy_2_Copy_1_Copy_1"/>
      <w:bookmarkStart w:id="26" w:name="Bookmark_Copy_2_Copy_1_Copy_1"/>
      <w:bookmarkEnd w:id="26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bookmarkStart w:id="27" w:name="Copia_Bookmark_Copy_2_Copy_1_Copy_1_1"/>
      <w:bookmarkStart w:id="28" w:name="Copia_Bookmark_Copy_2_Copy_1_Copy_1_1"/>
      <w:bookmarkStart w:id="29" w:name="Bookmark_Copy_2_Copy_1_Copy_1"/>
      <w:bookmarkEnd w:id="27"/>
      <w:bookmarkEnd w:id="28"/>
      <w:bookmarkEnd w:id="29"/>
      <w:r>
        <w:rPr>
          <w:sz w:val="24"/>
          <w:szCs w:val="24"/>
        </w:rPr>
        <w:t xml:space="preserve"> </w:t>
      </w:r>
      <w:r>
        <w:rPr>
          <w:rStyle w:val="DamodificareEG"/>
          <w:rFonts w:eastAsia="Noto Serif CJK SC" w:cs="Lohit Devanagari"/>
          <w:b w:val="false"/>
          <w:bCs w:val="false"/>
          <w:kern w:val="2"/>
          <w:sz w:val="24"/>
          <w:szCs w:val="24"/>
          <w:lang w:val="it-IT" w:eastAsia="zh-CN" w:bidi="hi-IN"/>
        </w:rPr>
        <w:t>i documenti digitali allegati risultano illeggibili per eccessiva dimensione, errato formato dei dati o per modalità d’invio.</w:t>
      </w:r>
    </w:p>
    <w:p>
      <w:pPr>
        <w:pStyle w:val="BodyText"/>
        <w:rPr>
          <w:lang w:val="it-IT"/>
        </w:rPr>
      </w:pPr>
      <w:r>
        <w:rPr>
          <w:lang w:val="it-IT"/>
        </w:rPr>
        <w:t>Quanto sopra può essere agevolmente comunicato impiegando l’allegata lista di controllo.</w:t>
      </w:r>
    </w:p>
    <w:p>
      <w:pPr>
        <w:pStyle w:val="BodyText"/>
        <w:rPr>
          <w:lang w:val="it-IT"/>
        </w:rPr>
      </w:pPr>
      <w:r>
        <w:rPr>
          <w:lang w:val="it-IT"/>
        </w:rPr>
        <w:t>La documentazione richiesta deve essere inviata con congruo anticipo rispetto alla convocazione, tale da consentirne l’esame da parte di questo Comando.</w:t>
      </w:r>
    </w:p>
    <w:p>
      <w:pPr>
        <w:pStyle w:val="BodyText"/>
        <w:rPr>
          <w:lang w:val="it-IT"/>
        </w:rPr>
      </w:pPr>
      <w:r>
        <w:rPr>
          <w:lang w:val="it-IT"/>
        </w:rPr>
        <w:t>Si rammenta che il parere della commissione può essere adottato esclusivamente con l'intervento di tutti i componenti. Se richiesto, solo il parere sui progetti può essere espresso in videoconferenza.</w:t>
      </w:r>
    </w:p>
    <w:p>
      <w:pPr>
        <w:pStyle w:val="BodyText"/>
        <w:rPr/>
      </w:pPr>
      <w:r>
        <w:rPr>
          <w:rFonts w:eastAsia="Noto Serif CJK SC" w:cs="Lohit Devanagari"/>
          <w:kern w:val="2"/>
          <w:sz w:val="24"/>
          <w:szCs w:val="24"/>
          <w:lang w:val="it-IT" w:eastAsia="zh-CN" w:bidi="hi-IN"/>
        </w:rPr>
        <w:t xml:space="preserve">In mancanza di quanto sopra, questo Comando non può esprimere parere in seno alla commissione e pertanto </w:t>
      </w:r>
      <w:r>
        <w:rPr>
          <w:rFonts w:eastAsia="Noto Serif CJK SC" w:cs="Lohit Devanagari"/>
          <w:b/>
          <w:bCs/>
          <w:kern w:val="2"/>
          <w:sz w:val="24"/>
          <w:szCs w:val="24"/>
          <w:lang w:val="it-IT" w:eastAsia="zh-CN" w:bidi="hi-IN"/>
        </w:rPr>
        <w:t>non parteciperà</w:t>
      </w:r>
      <w:r>
        <w:rPr>
          <w:rFonts w:eastAsia="Noto Serif CJK SC" w:cs="Lohit Devanagari"/>
          <w:kern w:val="2"/>
          <w:sz w:val="24"/>
          <w:szCs w:val="24"/>
          <w:lang w:val="it-IT" w:eastAsia="zh-CN" w:bidi="hi-IN"/>
        </w:rPr>
        <w:t xml:space="preserve"> alla convocazione.</w:t>
      </w:r>
    </w:p>
    <w:tbl>
      <w:tblPr>
        <w:tblW w:w="9638" w:type="dxa"/>
        <w:jc w:val="left"/>
        <w:tblInd w:w="0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4819"/>
        <w:gridCol w:w="4819"/>
      </w:tblGrid>
      <w:tr>
        <w:trPr>
          <w:cantSplit w:val="true"/>
        </w:trPr>
        <w:tc>
          <w:tcPr>
            <w:tcW w:w="4819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Per il dirigente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  <w:fldChar w:fldCharType="begin"/>
            </w:r>
            <w:r>
              <w:rPr/>
              <w:instrText xml:space="preserve"> MERGEFIELD $NOME_COMANDANTE </w:instrText>
            </w:r>
            <w:r>
              <w:rPr/>
              <w:fldChar w:fldCharType="separate"/>
            </w:r>
            <w:r>
              <w:rPr/>
              <w:t>&lt;$NOME_COMANDANTE&gt;</w:t>
            </w:r>
            <w:r>
              <w:rPr/>
              <w:fldChar w:fldCharType="end"/>
            </w:r>
            <w:r>
              <w:rPr/>
              <w:t xml:space="preserve"> </w:t>
            </w:r>
            <w:r>
              <w:rPr/>
              <w:fldChar w:fldCharType="begin"/>
            </w:r>
            <w:r>
              <w:rPr/>
              <w:instrText xml:space="preserve"> MERGEFIELD $COGNOME_COMANDANTE </w:instrText>
            </w:r>
            <w:r>
              <w:rPr/>
              <w:fldChar w:fldCharType="separate"/>
            </w:r>
            <w:r>
              <w:rPr/>
              <w:t>&lt;$COGNOME_COMANDANTE&gt;</w:t>
            </w:r>
            <w:r>
              <w:rPr/>
              <w:fldChar w:fldCharType="end"/>
            </w:r>
            <w:r>
              <w:rPr/>
              <w:t>,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  <w:t>l’operatore di prevenzione incendi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  <w:t>(firmato digitalmente)</w:t>
            </w:r>
          </w:p>
        </w:tc>
      </w:tr>
    </w:tbl>
    <w:p>
      <w:pPr>
        <w:pStyle w:val="Normal"/>
        <w:rPr/>
      </w:pPr>
      <w:r>
        <w:rPr/>
        <w:t>Allegati: Lista di controllo</w:t>
      </w:r>
      <w:r>
        <w:br w:type="page"/>
      </w:r>
    </w:p>
    <w:p>
      <w:pPr>
        <w:pStyle w:val="BodyText"/>
        <w:spacing w:before="0" w:after="140"/>
        <w:jc w:val="center"/>
        <w:rPr>
          <w:b/>
          <w:bCs/>
        </w:rPr>
      </w:pPr>
      <w:r>
        <w:rPr>
          <w:b/>
          <w:bCs/>
        </w:rPr>
        <w:t>Lista di controllo convocazione commissione comunale di vigilanza per pubblico spettacolo</w:t>
      </w:r>
    </w:p>
    <w:p>
      <w:pPr>
        <w:pStyle w:val="BodyText"/>
        <w:rPr/>
      </w:pPr>
      <w:r>
        <w:rPr/>
        <w:t>Si dichiara che la commissione di vigilanza per il pubblico spettacolo</w:t>
      </w:r>
      <w:r>
        <w:rPr>
          <w:rStyle w:val="FootnoteReference"/>
        </w:rPr>
        <w:footnoteReference w:id="2"/>
      </w:r>
      <w:r>
        <w:rPr/>
        <w:t xml:space="preserve"> è convocata in data …… / …… / …… alle ore … : …  presso: ………………………………………………… al fine dell’espressione del parere tecnico </w:t>
      </w:r>
      <w:r>
        <w:rPr>
          <w:i/>
          <w:iCs/>
        </w:rPr>
        <w:t>esclusivamente</w:t>
      </w:r>
      <w:r>
        <w:rPr/>
        <w:t xml:space="preserve"> finalizzato alla </w:t>
      </w:r>
      <w:r>
        <w:rPr>
          <w:i/>
          <w:iCs/>
        </w:rPr>
        <w:t>concessione della licenza</w:t>
      </w:r>
      <w:r>
        <w:rPr/>
        <w:t xml:space="preserve"> da parte del Sindaco</w:t>
      </w:r>
      <w:r>
        <w:rPr>
          <w:rStyle w:val="FootnoteReference"/>
        </w:rPr>
        <w:footnoteReference w:id="3"/>
      </w:r>
      <w:r>
        <w:rPr/>
        <w:t xml:space="preserve"> per la seguente </w:t>
      </w:r>
      <w:r>
        <w:rPr>
          <w:i/>
          <w:iCs/>
        </w:rPr>
        <w:t>attività di pubblico spettacolo</w:t>
      </w:r>
      <w:r>
        <w:rPr/>
        <w:t>:</w:t>
      </w:r>
    </w:p>
    <w:p>
      <w:pPr>
        <w:pStyle w:val="BodyText"/>
        <w:rPr/>
      </w:pPr>
      <w:r>
        <w:rPr/>
        <w:t>…………………………………………………………………………………………………………</w:t>
      </w:r>
    </w:p>
    <w:tbl>
      <w:tblPr>
        <w:tblW w:w="9643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37"/>
        <w:gridCol w:w="8806"/>
      </w:tblGrid>
      <w:tr>
        <w:trPr>
          <w:cantSplit w:val="true"/>
        </w:trPr>
        <w:tc>
          <w:tcPr>
            <w:tcW w:w="837" w:type="dxa"/>
            <w:tcBorders/>
          </w:tcPr>
          <w:p>
            <w:pPr>
              <w:pStyle w:val="BodyText"/>
              <w:widowControl w:val="false"/>
              <w:spacing w:before="0" w:after="140"/>
              <w:jc w:val="center"/>
              <w:rPr/>
            </w:pPr>
            <w:r>
              <w:fldChar w:fldCharType="begin">
                <w:ffData>
                  <w:name w:val="Bookmark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0" w:name="Bookmark_Copy_5"/>
            <w:bookmarkStart w:id="31" w:name="Bookmark_Copy_5"/>
            <w:bookmarkEnd w:id="31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8806" w:type="dxa"/>
            <w:tcBorders/>
          </w:tcPr>
          <w:p>
            <w:pPr>
              <w:pStyle w:val="BodyText"/>
              <w:widowControl w:val="false"/>
              <w:spacing w:lineRule="auto" w:line="276" w:before="0" w:after="140"/>
              <w:jc w:val="both"/>
              <w:rPr/>
            </w:pPr>
            <w:r>
              <w:rPr/>
              <w:t>Attività permanente</w:t>
            </w:r>
          </w:p>
        </w:tc>
      </w:tr>
      <w:tr>
        <w:trPr>
          <w:cantSplit w:val="true"/>
        </w:trPr>
        <w:tc>
          <w:tcPr>
            <w:tcW w:w="837" w:type="dxa"/>
            <w:tcBorders/>
          </w:tcPr>
          <w:p>
            <w:pPr>
              <w:pStyle w:val="BodyText"/>
              <w:widowControl w:val="false"/>
              <w:spacing w:before="0" w:after="140"/>
              <w:jc w:val="center"/>
              <w:rPr/>
            </w:pPr>
            <w:r>
              <w:fldChar w:fldCharType="begin">
                <w:ffData>
                  <w:name w:val="Bookmark Copy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2" w:name="Bookmark_Copy_6"/>
            <w:bookmarkStart w:id="33" w:name="Bookmark_Copy_6"/>
            <w:bookmarkEnd w:id="33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8806" w:type="dxa"/>
            <w:tcBorders/>
          </w:tcPr>
          <w:p>
            <w:pPr>
              <w:pStyle w:val="BodyText"/>
              <w:widowControl w:val="false"/>
              <w:spacing w:lineRule="auto" w:line="276" w:before="0" w:after="140"/>
              <w:jc w:val="left"/>
              <w:rPr/>
            </w:pPr>
            <w:r>
              <w:rPr/>
              <w:t>Attività temporanea, che si svolgerà nelle seguenti date ed orari: …………………………………………………………………………………………….</w:t>
            </w:r>
          </w:p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/>
              <w:t>che costituisce ambito delimitato e munito di controllo degli accessi della manifestazione pubblica denominata: …………………………………………………………………………………………….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Per l’attività di pubblico spettacolo è richiesta capienza complessiva pari a n°……… occupanti, comunque &gt; 200 occupanti</w:t>
      </w:r>
      <w:r>
        <w:rPr>
          <w:rStyle w:val="FootnoteReference"/>
        </w:rPr>
        <w:footnoteReference w:id="4"/>
      </w:r>
      <w:r>
        <w:rPr/>
        <w:t xml:space="preserve">, e </w:t>
      </w:r>
      <w:r>
        <w:rPr>
          <w:b/>
          <w:bCs/>
        </w:rPr>
        <w:t>classificabile</w:t>
      </w:r>
      <w:r>
        <w:rPr/>
        <w:t xml:space="preserve"> come:</w:t>
      </w:r>
    </w:p>
    <w:tbl>
      <w:tblPr>
        <w:tblW w:w="9643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37"/>
        <w:gridCol w:w="8806"/>
      </w:tblGrid>
      <w:tr>
        <w:trPr>
          <w:cantSplit w:val="true"/>
        </w:trPr>
        <w:tc>
          <w:tcPr>
            <w:tcW w:w="837" w:type="dxa"/>
            <w:tcBorders/>
          </w:tcPr>
          <w:p>
            <w:pPr>
              <w:pStyle w:val="BodyText"/>
              <w:widowControl w:val="false"/>
              <w:spacing w:before="0" w:after="140"/>
              <w:jc w:val="center"/>
              <w:rPr/>
            </w:pPr>
            <w:r>
              <w:fldChar w:fldCharType="begin">
                <w:ffData>
                  <w:name w:val="Bookmark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4" w:name="Bookmark_Copy_7"/>
            <w:bookmarkStart w:id="35" w:name="Bookmark_Copy_7"/>
            <w:bookmarkEnd w:id="35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8806" w:type="dxa"/>
            <w:tcBorders/>
          </w:tcPr>
          <w:p>
            <w:pPr>
              <w:pStyle w:val="BodyText"/>
              <w:widowControl w:val="false"/>
              <w:spacing w:lineRule="auto" w:line="276" w:before="0" w:after="140"/>
              <w:jc w:val="both"/>
              <w:rPr/>
            </w:pPr>
            <w:r>
              <w:rPr/>
              <w:t>Locali cinematografici o teatrali, spettacoli viaggianti con capienza ≤ 1300 occupanti</w:t>
            </w:r>
            <w:r>
              <w:rPr>
                <w:rStyle w:val="FootnoteReference"/>
              </w:rPr>
              <w:footnoteReference w:id="5"/>
            </w:r>
          </w:p>
        </w:tc>
      </w:tr>
      <w:tr>
        <w:trPr>
          <w:cantSplit w:val="true"/>
        </w:trPr>
        <w:tc>
          <w:tcPr>
            <w:tcW w:w="837" w:type="dxa"/>
            <w:tcBorders/>
          </w:tcPr>
          <w:p>
            <w:pPr>
              <w:pStyle w:val="BodyText"/>
              <w:widowControl w:val="false"/>
              <w:spacing w:before="0" w:after="140"/>
              <w:jc w:val="center"/>
              <w:rPr/>
            </w:pPr>
            <w:r>
              <w:fldChar w:fldCharType="begin">
                <w:ffData>
                  <w:name w:val="Bookmark Copy 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6" w:name="Bookmark_Copy_8"/>
            <w:bookmarkStart w:id="37" w:name="Bookmark_Copy_8"/>
            <w:bookmarkEnd w:id="37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8806" w:type="dxa"/>
            <w:tcBorders/>
          </w:tcPr>
          <w:p>
            <w:pPr>
              <w:pStyle w:val="BodyText"/>
              <w:widowControl w:val="false"/>
              <w:spacing w:lineRule="auto" w:line="276" w:before="0" w:after="140"/>
              <w:jc w:val="both"/>
              <w:rPr/>
            </w:pPr>
            <w:r>
              <w:rPr/>
              <w:t>Spettacolo o intrattenimento in aree delimitate o locali nell’ambito di manifestazioni pubbliche con capienza ≤ 5000 occupanti</w:t>
            </w:r>
            <w:r>
              <w:rPr>
                <w:rStyle w:val="FootnoteReference"/>
              </w:rPr>
              <w:footnoteReference w:id="6"/>
            </w:r>
          </w:p>
        </w:tc>
      </w:tr>
    </w:tbl>
    <w:p>
      <w:pPr>
        <w:pStyle w:val="BodyText"/>
        <w:rPr/>
      </w:pPr>
      <w:r>
        <w:rPr/>
        <w:t>con esclusione di:</w:t>
      </w:r>
    </w:p>
    <w:p>
      <w:pPr>
        <w:pStyle w:val="BodyText"/>
        <w:numPr>
          <w:ilvl w:val="0"/>
          <w:numId w:val="1"/>
        </w:numPr>
        <w:rPr/>
      </w:pPr>
      <w:r>
        <w:rPr/>
        <w:t>spettacoli dal vivo con capienza ≤ 2000 occupanti, che comprendono attività culturali quali il teatro, la musica, la danza e il musical nonché le proiezioni cinematografiche, che si svolgono in un orario compreso tra le ore 8.00 e le ore 1.00 del giorno seguente, compresi le rassegne e i festival che si svolgono per più giorni con le medesime modalità artistiche e organizzative, tranne casi in cui sussistono vincoli ambientali, paesaggistici o culturali nel luogo in cui si svolge lo spettacolo in oggetto</w:t>
      </w:r>
      <w:r>
        <w:rPr>
          <w:rStyle w:val="FootnoteReference"/>
        </w:rPr>
        <w:footnoteReference w:id="7"/>
      </w:r>
      <w:r>
        <w:rPr/>
        <w:t>;</w:t>
      </w:r>
    </w:p>
    <w:p>
      <w:pPr>
        <w:pStyle w:val="BodyText"/>
        <w:numPr>
          <w:ilvl w:val="0"/>
          <w:numId w:val="1"/>
        </w:numPr>
        <w:rPr/>
      </w:pPr>
      <w:r>
        <w:rPr/>
        <w:t>parchi di divertimento e per attrezzature da divertimento meccaniche o elettromeccaniche che comportano sollecitazioni fisiche degli spettatori o del pubblico partecipante ai giochi superiori ai livelli indicati con decreto del Ministro dell’Interno di concerto con il Ministro della sanità</w:t>
      </w:r>
      <w:r>
        <w:rPr>
          <w:rStyle w:val="FootnoteReference"/>
        </w:rPr>
        <w:footnoteReference w:id="8"/>
      </w:r>
      <w:r>
        <w:rPr/>
        <w:t>.</w:t>
      </w:r>
    </w:p>
    <w:p>
      <w:pPr>
        <w:pStyle w:val="BodyText"/>
        <w:rPr/>
      </w:pPr>
      <w:r>
        <w:rPr/>
        <w:t xml:space="preserve">La commissione è convocata per i seguenti </w:t>
      </w:r>
      <w:r>
        <w:rPr>
          <w:b/>
          <w:bCs/>
        </w:rPr>
        <w:t>compiti</w:t>
      </w:r>
      <w:r>
        <w:rPr/>
        <w:t xml:space="preserve"> in merito all’attività</w:t>
      </w:r>
      <w:r>
        <w:rPr>
          <w:rStyle w:val="FootnoteReference"/>
        </w:rPr>
        <w:footnoteReference w:id="9"/>
      </w:r>
      <w:r>
        <w:rPr/>
        <w:t>:</w:t>
      </w:r>
    </w:p>
    <w:tbl>
      <w:tblPr>
        <w:tblW w:w="9643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36"/>
        <w:gridCol w:w="8007"/>
      </w:tblGrid>
      <w:tr>
        <w:trPr>
          <w:cantSplit w:val="true"/>
        </w:trPr>
        <w:tc>
          <w:tcPr>
            <w:tcW w:w="1636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fldChar w:fldCharType="begin">
                <w:ffData>
                  <w:name w:val="Bookmark Copy 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8" w:name="Bookmark_Copy_9"/>
            <w:bookmarkStart w:id="39" w:name="Bookmark_Copy_9"/>
            <w:bookmarkEnd w:id="39"/>
            <w:r>
              <w:rPr/>
            </w:r>
            <w:r>
              <w:rPr/>
              <w:fldChar w:fldCharType="end"/>
            </w:r>
            <w:bookmarkStart w:id="40" w:name="Copia_Bookmark_Copy_9_1"/>
            <w:bookmarkStart w:id="41" w:name="Bookmark_Copy_9_Copy_1"/>
            <w:bookmarkStart w:id="42" w:name="Copia_Bookmark_Copy_9_Copy_1_1"/>
            <w:bookmarkStart w:id="43" w:name="Copia_Bookmark_Copy_9_1"/>
            <w:bookmarkStart w:id="44" w:name="Bookmark_Copy_9"/>
            <w:bookmarkEnd w:id="40"/>
            <w:bookmarkEnd w:id="41"/>
            <w:bookmarkEnd w:id="42"/>
            <w:bookmarkEnd w:id="43"/>
            <w:bookmarkEnd w:id="44"/>
            <w:r>
              <w:rPr/>
              <w:t xml:space="preserve"> Parere</w:t>
            </w:r>
          </w:p>
        </w:tc>
        <w:tc>
          <w:tcPr>
            <w:tcW w:w="8007" w:type="dxa"/>
            <w:tcBorders/>
          </w:tcPr>
          <w:p>
            <w:pPr>
              <w:pStyle w:val="BodyText"/>
              <w:widowControl w:val="false"/>
              <w:spacing w:lineRule="auto" w:line="276" w:before="0" w:after="140"/>
              <w:jc w:val="both"/>
              <w:rPr/>
            </w:pPr>
            <w:r>
              <w:rPr>
                <w:b w:val="false"/>
                <w:bCs w:val="false"/>
              </w:rPr>
              <w:t xml:space="preserve">[a] </w:t>
            </w:r>
            <w:r>
              <w:rPr>
                <w:b/>
                <w:bCs/>
              </w:rPr>
              <w:t>Esprimere il parere sui progetti</w:t>
            </w:r>
            <w:r>
              <w:rPr/>
              <w:t xml:space="preserve"> di nuovi teatri e di altri locali o impianti di pubblico spettacolo e trattenimento, o di sostanziali modificazioni a quelli esistenti.</w:t>
            </w:r>
          </w:p>
        </w:tc>
      </w:tr>
      <w:tr>
        <w:trPr>
          <w:cantSplit w:val="true"/>
        </w:trPr>
        <w:tc>
          <w:tcPr>
            <w:tcW w:w="1636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fldChar w:fldCharType="begin">
                <w:ffData>
                  <w:name w:val="Bookmark Copy 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5" w:name="Bookmark_Copy_10"/>
            <w:bookmarkStart w:id="46" w:name="Bookmark_Copy_10"/>
            <w:bookmarkEnd w:id="46"/>
            <w:r>
              <w:rPr/>
            </w:r>
            <w:r>
              <w:rPr/>
              <w:fldChar w:fldCharType="end"/>
            </w:r>
            <w:bookmarkStart w:id="47" w:name="Copia_Bookmark_Copy_10_1"/>
            <w:bookmarkStart w:id="48" w:name="Bookmark_Copy_10_Copy_1"/>
            <w:bookmarkStart w:id="49" w:name="Copia_Bookmark_Copy_10_Copy_1_1"/>
            <w:bookmarkStart w:id="50" w:name="Copia_Bookmark_Copy_10_1"/>
            <w:bookmarkStart w:id="51" w:name="Bookmark_Copy_10"/>
            <w:bookmarkEnd w:id="47"/>
            <w:bookmarkEnd w:id="48"/>
            <w:bookmarkEnd w:id="49"/>
            <w:bookmarkEnd w:id="50"/>
            <w:bookmarkEnd w:id="51"/>
            <w:r>
              <w:rPr/>
              <w:t xml:space="preserve"> Sopralluogo</w:t>
            </w:r>
          </w:p>
        </w:tc>
        <w:tc>
          <w:tcPr>
            <w:tcW w:w="8007" w:type="dxa"/>
            <w:tcBorders/>
          </w:tcPr>
          <w:p>
            <w:pPr>
              <w:pStyle w:val="BodyText"/>
              <w:widowControl w:val="false"/>
              <w:spacing w:lineRule="auto" w:line="276" w:before="0" w:after="140"/>
              <w:jc w:val="both"/>
              <w:rPr/>
            </w:pPr>
            <w:r>
              <w:rPr>
                <w:b w:val="false"/>
                <w:bCs w:val="false"/>
              </w:rPr>
              <w:t xml:space="preserve">[b] </w:t>
            </w:r>
            <w:r>
              <w:rPr>
                <w:b/>
                <w:bCs/>
              </w:rPr>
              <w:t>Verificare le condizioni</w:t>
            </w:r>
            <w:r>
              <w:rPr/>
              <w:t xml:space="preserve"> di solidità, di sicurezza e di igiene dei locali stessi o degli impianti ed indicare le misure e le cautele ritenute necessarie sia nell'interesse dell'igiene che della prevenzione degli infortuni.</w:t>
            </w:r>
          </w:p>
          <w:p>
            <w:pPr>
              <w:pStyle w:val="BodyText"/>
              <w:widowControl w:val="false"/>
              <w:spacing w:lineRule="auto" w:line="276" w:before="0" w:after="140"/>
              <w:jc w:val="both"/>
              <w:rPr/>
            </w:pPr>
            <w:r>
              <w:rPr>
                <w:b w:val="false"/>
                <w:bCs w:val="false"/>
              </w:rPr>
              <w:t xml:space="preserve">[c] </w:t>
            </w:r>
            <w:r>
              <w:rPr>
                <w:b/>
                <w:bCs/>
              </w:rPr>
              <w:t>Accertare la conformità</w:t>
            </w:r>
            <w:r>
              <w:rPr/>
              <w:t xml:space="preserve"> alle disposizioni vigenti e la visibilità delle scritte e degli avvisi per il pubblico prescritti per la sicurezza e per l'incolumità pubblica.</w:t>
            </w:r>
          </w:p>
        </w:tc>
      </w:tr>
      <w:tr>
        <w:trPr>
          <w:cantSplit w:val="true"/>
        </w:trPr>
        <w:tc>
          <w:tcPr>
            <w:tcW w:w="1636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fldChar w:fldCharType="begin">
                <w:ffData>
                  <w:name w:val="Bookmark Copy 1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2" w:name="Bookmark_Copy_12"/>
            <w:bookmarkStart w:id="53" w:name="Bookmark_Copy_12"/>
            <w:bookmarkEnd w:id="53"/>
            <w:r>
              <w:rPr/>
            </w:r>
            <w:r>
              <w:rPr/>
              <w:fldChar w:fldCharType="end"/>
            </w:r>
            <w:bookmarkStart w:id="54" w:name="Copia_Bookmark_Copy_12_1"/>
            <w:bookmarkStart w:id="55" w:name="Bookmark_Copy_12_Copy_1"/>
            <w:bookmarkStart w:id="56" w:name="Copia_Bookmark_Copy_12_Copy_1_1"/>
            <w:bookmarkStart w:id="57" w:name="Copia_Bookmark_Copy_12_1"/>
            <w:bookmarkStart w:id="58" w:name="Bookmark_Copy_12"/>
            <w:bookmarkEnd w:id="54"/>
            <w:bookmarkEnd w:id="55"/>
            <w:bookmarkEnd w:id="56"/>
            <w:bookmarkEnd w:id="57"/>
            <w:bookmarkEnd w:id="58"/>
            <w:r>
              <w:rPr/>
              <w:t xml:space="preserve"> Codice id.</w:t>
            </w:r>
          </w:p>
        </w:tc>
        <w:tc>
          <w:tcPr>
            <w:tcW w:w="8007" w:type="dxa"/>
            <w:tcBorders/>
          </w:tcPr>
          <w:p>
            <w:pPr>
              <w:pStyle w:val="BodyText"/>
              <w:widowControl w:val="false"/>
              <w:spacing w:lineRule="auto" w:line="276" w:before="0" w:after="140"/>
              <w:jc w:val="both"/>
              <w:rPr/>
            </w:pPr>
            <w:r>
              <w:rPr/>
              <w:t>[d] Accertare, ai sensi dell'articolo 4 del decreto legislativo 8 gennaio 1998, n. 3, anche avvalendosi di personale tecnico di altre amministrazioni pubbliche, gli aspetti tecnici di sicurezza e di igiene al fine della iscrizione nell'elenco di cui all'articolo 4 della legge 18 marzo 1968, n. 337 (</w:t>
            </w:r>
            <w:r>
              <w:rPr>
                <w:b/>
                <w:bCs/>
              </w:rPr>
              <w:t>rilascio codice identificativo</w:t>
            </w:r>
            <w:r>
              <w:rPr/>
              <w:t xml:space="preserve"> attrazioni di circhi equestri, luna park e spettacolo viaggiante).</w:t>
            </w:r>
          </w:p>
        </w:tc>
      </w:tr>
      <w:tr>
        <w:trPr>
          <w:cantSplit w:val="true"/>
        </w:trPr>
        <w:tc>
          <w:tcPr>
            <w:tcW w:w="1636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fldChar w:fldCharType="begin">
                <w:ffData>
                  <w:name w:val="Bookmark Copy 1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9" w:name="Bookmark_Copy_13"/>
            <w:bookmarkStart w:id="60" w:name="Bookmark_Copy_13"/>
            <w:bookmarkEnd w:id="60"/>
            <w:r>
              <w:rPr/>
            </w:r>
            <w:r>
              <w:rPr/>
              <w:fldChar w:fldCharType="end"/>
            </w:r>
            <w:bookmarkStart w:id="61" w:name="Copia_Bookmark_Copy_13_1"/>
            <w:bookmarkStart w:id="62" w:name="Bookmark_Copy_13_Copy_1"/>
            <w:bookmarkStart w:id="63" w:name="Copia_Bookmark_Copy_13_Copy_1_1"/>
            <w:bookmarkStart w:id="64" w:name="Copia_Bookmark_Copy_13_1"/>
            <w:bookmarkStart w:id="65" w:name="Bookmark_Copy_13"/>
            <w:bookmarkEnd w:id="61"/>
            <w:bookmarkEnd w:id="62"/>
            <w:bookmarkEnd w:id="63"/>
            <w:bookmarkEnd w:id="64"/>
            <w:bookmarkEnd w:id="65"/>
            <w:r>
              <w:rPr/>
              <w:t xml:space="preserve"> Ispezione</w:t>
            </w:r>
          </w:p>
        </w:tc>
        <w:tc>
          <w:tcPr>
            <w:tcW w:w="8007" w:type="dxa"/>
            <w:tcBorders/>
          </w:tcPr>
          <w:p>
            <w:pPr>
              <w:pStyle w:val="BodyText"/>
              <w:widowControl w:val="false"/>
              <w:spacing w:lineRule="auto" w:line="276" w:before="0" w:after="140"/>
              <w:jc w:val="both"/>
              <w:rPr/>
            </w:pPr>
            <w:r>
              <w:rPr>
                <w:b w:val="false"/>
                <w:bCs w:val="false"/>
              </w:rPr>
              <w:t xml:space="preserve">[e] </w:t>
            </w:r>
            <w:r>
              <w:rPr>
                <w:b/>
                <w:bCs/>
              </w:rPr>
              <w:t>Controllare con frequenza</w:t>
            </w:r>
            <w:r>
              <w:rPr/>
              <w:t xml:space="preserve"> che vengano osservate le norme e le cautele imposte e che i meccanismi di sicurezza funzionino regolarmente, suggerendo all'autorità competente gli eventuali provvedimenti.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A tal fine si allega la seguente </w:t>
      </w:r>
      <w:r>
        <w:rPr>
          <w:b/>
          <w:bCs/>
        </w:rPr>
        <w:t>documentazione</w:t>
      </w:r>
      <w:r>
        <w:rPr/>
        <w:t xml:space="preserve"> non già in possesso di codesto Comando:</w:t>
      </w:r>
    </w:p>
    <w:tbl>
      <w:tblPr>
        <w:tblW w:w="9643" w:type="dxa"/>
        <w:jc w:val="left"/>
        <w:tblInd w:w="0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837"/>
        <w:gridCol w:w="8806"/>
      </w:tblGrid>
      <w:tr>
        <w:trPr>
          <w:cantSplit w:val="true"/>
        </w:trPr>
        <w:tc>
          <w:tcPr>
            <w:tcW w:w="837" w:type="dxa"/>
            <w:tcBorders/>
          </w:tcPr>
          <w:p>
            <w:pPr>
              <w:pStyle w:val="BodyText"/>
              <w:widowControl w:val="false"/>
              <w:spacing w:before="0" w:after="140"/>
              <w:jc w:val="center"/>
              <w:rPr/>
            </w:pPr>
            <w:r>
              <w:rPr/>
              <w:t>X</w:t>
            </w:r>
          </w:p>
        </w:tc>
        <w:tc>
          <w:tcPr>
            <w:tcW w:w="8806" w:type="dxa"/>
            <w:tcBorders/>
          </w:tcPr>
          <w:p>
            <w:pPr>
              <w:pStyle w:val="BodyText"/>
              <w:widowControl w:val="false"/>
              <w:spacing w:lineRule="auto" w:line="276" w:before="0" w:after="140"/>
              <w:jc w:val="both"/>
              <w:rPr/>
            </w:pPr>
            <w:r>
              <w:rPr>
                <w:b w:val="false"/>
                <w:bCs w:val="false"/>
                <w:i/>
                <w:iCs/>
                <w:lang w:val="it-IT"/>
              </w:rPr>
              <w:t>Sempre richiesto:</w:t>
            </w:r>
            <w:r>
              <w:rPr>
                <w:b w:val="false"/>
                <w:bCs w:val="false"/>
                <w:lang w:val="it-IT"/>
              </w:rPr>
              <w:t xml:space="preserve"> </w:t>
            </w:r>
            <w:r>
              <w:rPr>
                <w:b/>
                <w:bCs/>
                <w:lang w:val="it-IT"/>
              </w:rPr>
              <w:t>relazione tecnica ed elaborati grafici</w:t>
            </w:r>
            <w:r>
              <w:rPr>
                <w:lang w:val="it-IT"/>
              </w:rPr>
              <w:t>, che evidenzino l'osservanza dei criteri generali di sicurezza antincendio, tramite l'individuazione dei pericoli di incendio, la valutazione dei rischi connessi e la descrizione delle misure di prevenzione e protezione antincendio da attuare per ridurre i rischi.</w:t>
            </w:r>
          </w:p>
        </w:tc>
      </w:tr>
      <w:tr>
        <w:trPr>
          <w:cantSplit w:val="true"/>
        </w:trPr>
        <w:tc>
          <w:tcPr>
            <w:tcW w:w="837" w:type="dxa"/>
            <w:tcBorders/>
          </w:tcPr>
          <w:p>
            <w:pPr>
              <w:pStyle w:val="BodyText"/>
              <w:widowControl w:val="false"/>
              <w:spacing w:before="0" w:after="140"/>
              <w:jc w:val="center"/>
              <w:rPr/>
            </w:pPr>
            <w:r>
              <w:rPr/>
              <w:t>X</w:t>
            </w:r>
          </w:p>
        </w:tc>
        <w:tc>
          <w:tcPr>
            <w:tcW w:w="8806" w:type="dxa"/>
            <w:tcBorders/>
          </w:tcPr>
          <w:p>
            <w:pPr>
              <w:pStyle w:val="BodyText"/>
              <w:widowControl w:val="false"/>
              <w:spacing w:before="0" w:after="140"/>
              <w:rPr/>
            </w:pPr>
            <w:r>
              <w:rPr>
                <w:b w:val="false"/>
                <w:bCs w:val="false"/>
                <w:i/>
                <w:iCs/>
                <w:lang w:val="it-IT"/>
              </w:rPr>
              <w:t>Sempre richiesto:</w:t>
            </w:r>
            <w:r>
              <w:rPr>
                <w:b w:val="false"/>
                <w:bCs w:val="false"/>
                <w:lang w:val="it-IT"/>
              </w:rPr>
              <w:t xml:space="preserve"> planimetria che specifichi quale ambito dell’attività, delimitato e munito di controllo degli accessi, sia da intendersi </w:t>
            </w:r>
            <w:r>
              <w:rPr>
                <w:b/>
                <w:bCs/>
                <w:lang w:val="it-IT"/>
              </w:rPr>
              <w:t>pubblico spettacolo o intrattenimento</w:t>
            </w:r>
            <w:r>
              <w:rPr>
                <w:b w:val="false"/>
                <w:bCs w:val="false"/>
                <w:lang w:val="it-IT"/>
              </w:rPr>
              <w:t>, come definito per analogia all’articolo 1, comma 1 del decreto ministeriale 19 agosto 1996.</w:t>
            </w:r>
          </w:p>
        </w:tc>
      </w:tr>
      <w:tr>
        <w:trPr>
          <w:cantSplit w:val="true"/>
        </w:trPr>
        <w:tc>
          <w:tcPr>
            <w:tcW w:w="837" w:type="dxa"/>
            <w:tcBorders/>
          </w:tcPr>
          <w:p>
            <w:pPr>
              <w:pStyle w:val="BodyText"/>
              <w:widowControl w:val="false"/>
              <w:spacing w:before="0" w:after="140"/>
              <w:jc w:val="center"/>
              <w:rPr/>
            </w:pPr>
            <w:r>
              <w:fldChar w:fldCharType="begin">
                <w:ffData>
                  <w:name w:val="Bookmark Copy 1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6" w:name="Bookmark_Copy_14"/>
            <w:bookmarkStart w:id="67" w:name="Bookmark_Copy_14"/>
            <w:bookmarkEnd w:id="67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8806" w:type="dxa"/>
            <w:tcBorders/>
          </w:tcPr>
          <w:p>
            <w:pPr>
              <w:pStyle w:val="BodyText"/>
              <w:widowControl w:val="false"/>
              <w:spacing w:lineRule="auto" w:line="276" w:before="0" w:after="140"/>
              <w:jc w:val="both"/>
              <w:rPr/>
            </w:pPr>
            <w:r>
              <w:rPr>
                <w:b w:val="false"/>
                <w:bCs w:val="false"/>
                <w:i/>
                <w:iCs/>
                <w:lang w:val="it-IT"/>
              </w:rPr>
              <w:t>Sempre tranne</w:t>
            </w:r>
            <w:r>
              <w:rPr>
                <w:b w:val="false"/>
                <w:bCs w:val="false"/>
                <w:i w:val="false"/>
                <w:iCs w:val="false"/>
                <w:lang w:val="it-IT"/>
              </w:rPr>
              <w:t xml:space="preserve"> [a]</w:t>
            </w:r>
            <w:r>
              <w:rPr>
                <w:b w:val="false"/>
                <w:bCs w:val="false"/>
                <w:i/>
                <w:iCs/>
                <w:lang w:val="it-IT"/>
              </w:rPr>
              <w:t>:</w:t>
            </w:r>
            <w:r>
              <w:rPr>
                <w:b w:val="false"/>
                <w:bCs w:val="false"/>
                <w:lang w:val="it-IT"/>
              </w:rPr>
              <w:t xml:space="preserve"> </w:t>
            </w:r>
            <w:r>
              <w:rPr>
                <w:b/>
                <w:bCs/>
                <w:lang w:val="it-IT"/>
              </w:rPr>
              <w:t>certificazioni e dichiarazioni</w:t>
            </w:r>
            <w:r>
              <w:rPr>
                <w:lang w:val="it-IT"/>
              </w:rPr>
              <w:t>, atte a comprovare che gli elementi costruttivi, i prodotti, i materiali, le attrezzature, i dispositivi, gli impianti ed i componenti d'impianto, rilevanti ai fini della sicurezza in caso d'incendio, sono stati realizzati, installati o posti in opera secondo la regola dell'arte, in conformità alla vigente normativa in materia di sicurezza antincendio.</w:t>
            </w:r>
          </w:p>
        </w:tc>
      </w:tr>
    </w:tbl>
    <w:p>
      <w:pPr>
        <w:pStyle w:val="BodyText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BodyText"/>
              <w:widowControl w:val="false"/>
              <w:spacing w:before="0" w:after="140"/>
              <w:jc w:val="center"/>
              <w:rPr/>
            </w:pPr>
            <w:r>
              <w:rPr/>
            </w:r>
          </w:p>
        </w:tc>
        <w:tc>
          <w:tcPr>
            <w:tcW w:w="4819" w:type="dxa"/>
            <w:tcBorders/>
          </w:tcPr>
          <w:p>
            <w:pPr>
              <w:pStyle w:val="BodyText"/>
              <w:widowControl w:val="false"/>
              <w:spacing w:before="0" w:after="140"/>
              <w:jc w:val="center"/>
              <w:rPr/>
            </w:pPr>
            <w:r>
              <w:rPr/>
              <w:t>Per l’Amministrazione procedente</w:t>
              <w:br/>
              <w:t>…………………………………...</w:t>
            </w:r>
          </w:p>
        </w:tc>
      </w:tr>
    </w:tbl>
    <w:p>
      <w:pPr>
        <w:pStyle w:val="BodyText"/>
        <w:pageBreakBefore w:val="false"/>
        <w:spacing w:before="0" w:after="140"/>
        <w:rPr/>
      </w:pPr>
      <w:r>
        <w:rPr/>
      </w:r>
    </w:p>
    <w:sectPr>
      <w:footerReference w:type="even" r:id="rId3"/>
      <w:footerReference w:type="default" r:id="rId4"/>
      <w:footerReference w:type="first" r:id="rId5"/>
      <w:footnotePr>
        <w:numFmt w:val="decimal"/>
      </w:footnotePr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/>
      <w:t xml:space="preserve"> di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  <w:p>
    <w:pPr>
      <w:pStyle w:val="Footer"/>
      <w:rPr/>
    </w:pPr>
    <w:r>
      <w:rPr/>
      <w:fldChar w:fldCharType="begin"/>
    </w:r>
    <w:r>
      <w:rPr/>
      <w:instrText xml:space="preserve"> FILENAME </w:instrText>
    </w:r>
    <w:r>
      <w:rPr/>
      <w:fldChar w:fldCharType="separate"/>
    </w:r>
    <w:r>
      <w:rPr/>
      <w:t>CV11_REG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/>
      <w:t xml:space="preserve"> di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  <w:p>
    <w:pPr>
      <w:pStyle w:val="Footer"/>
      <w:rPr/>
    </w:pPr>
    <w:r>
      <w:rPr/>
      <w:fldChar w:fldCharType="begin"/>
    </w:r>
    <w:r>
      <w:rPr/>
      <w:instrText xml:space="preserve"> FILENAME </w:instrText>
    </w:r>
    <w:r>
      <w:rPr/>
      <w:fldChar w:fldCharType="separate"/>
    </w:r>
    <w:r>
      <w:rPr/>
      <w:t>CV11_REG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Caratterinotaapidipagina"/>
        </w:rPr>
        <w:footnoteRef/>
      </w:r>
      <w:r>
        <w:rPr/>
        <w:tab/>
        <w:t>Come definita dall’art. 80 TULPS (regio decreto 18 giugno 1931 , n. 773) e dagli artt. 141, 141-bis, 142 Reg. TULPS (regio decreto 6 maggio 1940, n. 635).</w:t>
      </w:r>
    </w:p>
  </w:footnote>
  <w:footnote w:id="3">
    <w:p>
      <w:pPr>
        <w:pStyle w:val="FootnoteText"/>
        <w:rPr/>
      </w:pPr>
      <w:r>
        <w:rPr>
          <w:rStyle w:val="Caratterinotaapidipagina"/>
        </w:rPr>
        <w:footnoteRef/>
      </w:r>
      <w:r>
        <w:rPr/>
        <w:tab/>
        <w:t>Ai sensi dell’art. 68 TULPS.</w:t>
      </w:r>
    </w:p>
  </w:footnote>
  <w:footnote w:id="4">
    <w:p>
      <w:pPr>
        <w:pStyle w:val="FootnoteText"/>
        <w:bidi w:val="0"/>
        <w:rPr/>
      </w:pPr>
      <w:r>
        <w:rPr>
          <w:rStyle w:val="Caratterinotaapidipagina"/>
        </w:rPr>
        <w:footnoteRef/>
      </w:r>
      <w:r>
        <w:rPr/>
        <w:tab/>
        <w:t>Secondo comma 2, art. 141 Reg. TULPS, per locali ed impianti con capienza complessiva ≤ 200 persone il parere, le verifiche e gli accertamenti della commissione di vigilanza sono sostituiti da relazione tecnica di professionista. Inoltre, secondo artt. 68 e 69 TULPS, per eventi ≤ 200 partecipanti che si svolgono entro le ore 24 del giorno di inizio, la licenza è sostituita da SCIA.</w:t>
      </w:r>
    </w:p>
  </w:footnote>
  <w:footnote w:id="5">
    <w:p>
      <w:pPr>
        <w:pStyle w:val="FootnoteText"/>
        <w:rPr/>
      </w:pPr>
      <w:r>
        <w:rPr>
          <w:rStyle w:val="Caratterinotaapidipagina"/>
        </w:rPr>
        <w:footnoteRef/>
      </w:r>
      <w:r>
        <w:rPr/>
        <w:tab/>
        <w:t>Secondo comma 9, art. 142 Reg. TULPS, capienze superiori di competenza della commissione provinciale.</w:t>
      </w:r>
    </w:p>
  </w:footnote>
  <w:footnote w:id="6">
    <w:p>
      <w:pPr>
        <w:pStyle w:val="FootnoteText"/>
        <w:rPr/>
      </w:pPr>
      <w:r>
        <w:rPr>
          <w:rStyle w:val="Caratterinotaapidipagina"/>
        </w:rPr>
        <w:footnoteRef/>
      </w:r>
      <w:r>
        <w:rPr/>
        <w:tab/>
        <w:t>Secondo comma 9, art. 142 Reg. TULPS, capienze superiori di competenza della commissione provinciale.</w:t>
      </w:r>
    </w:p>
  </w:footnote>
  <w:footnote w:id="7">
    <w:p>
      <w:pPr>
        <w:pStyle w:val="FootnoteText"/>
        <w:rPr/>
      </w:pPr>
      <w:r>
        <w:rPr>
          <w:rStyle w:val="Caratterinotaapidipagina"/>
        </w:rPr>
        <w:footnoteRef/>
      </w:r>
      <w:r>
        <w:rPr/>
        <w:tab/>
        <w:t xml:space="preserve">Secondo art. 7 decreto legge n. 201/2024 </w:t>
      </w:r>
      <w:r>
        <w:rPr/>
        <w:t>(convertito dalla legge 16/2025 e modificato dalla legge 182/2025)</w:t>
      </w:r>
      <w:r>
        <w:rPr/>
        <w:t xml:space="preserve">, la licenza è sostituita da SCIA, </w:t>
      </w:r>
      <w:r>
        <w:rPr/>
        <w:t xml:space="preserve">che </w:t>
      </w:r>
      <w:r>
        <w:rPr/>
        <w:t xml:space="preserve">indica il numero massimo di partecipanti, il luogo e l'orario in cui si svolge lo spettacolo ed è corredata </w:t>
      </w:r>
      <w:r>
        <w:rPr/>
        <w:t>anche</w:t>
      </w:r>
      <w:r>
        <w:rPr/>
        <w:t xml:space="preserve"> di una relazione tecnica di un professionista che attesta la rispondenza del luogo dove si svolge lo spettacolo alle regole tecniche, nonché della documentazione attestante il rispetto delle misure di sicurezza e di contenimento del rischio.</w:t>
      </w:r>
    </w:p>
  </w:footnote>
  <w:footnote w:id="8">
    <w:p>
      <w:pPr>
        <w:pStyle w:val="FootnoteText"/>
        <w:rPr/>
      </w:pPr>
      <w:r>
        <w:rPr>
          <w:rStyle w:val="Caratterinotaapidipagina"/>
        </w:rPr>
        <w:footnoteRef/>
      </w:r>
      <w:r>
        <w:rPr/>
        <w:tab/>
        <w:t>Secondo comma 9, art. 142 Reg. TULPS, di competenza della commissione provinciale.</w:t>
      </w:r>
    </w:p>
  </w:footnote>
  <w:footnote w:id="9">
    <w:p>
      <w:pPr>
        <w:pStyle w:val="FootnoteText"/>
        <w:rPr/>
      </w:pPr>
      <w:r>
        <w:rPr>
          <w:rStyle w:val="Caratterinotaapidipagina"/>
        </w:rPr>
        <w:footnoteRef/>
      </w:r>
      <w:r>
        <w:rPr/>
        <w:tab/>
        <w:t>Secondo art. 141, Reg. TULPS.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mailMerge>
    <w:mainDocumentType w:val="formLetters"/>
    <w:dataType w:val="textFile"/>
    <w:query w:val="SELECT * FROM db_elenco_campi_prince.dbo.Foglio1$"/>
  </w:mailMerge>
  <w:defaultTabStop w:val="709"/>
  <w:autoHyphenation w:val="true"/>
  <w:hyphenationZone w:val="360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it-IT" w:eastAsia="zh-CN" w:bidi="hi-IN"/>
    </w:rPr>
  </w:style>
  <w:style w:type="character" w:styleId="DefaultParagraphFont">
    <w:name w:val="Default Paragraph Font"/>
    <w:qFormat/>
    <w:rPr/>
  </w:style>
  <w:style w:type="character" w:styleId="Hyperlink">
    <w:name w:val="Hyperlink"/>
    <w:qFormat/>
    <w:rPr>
      <w:color w:val="000080"/>
      <w:u w:val="single"/>
      <w:lang w:val="zxx" w:eastAsia="zxx" w:bidi="zxx"/>
    </w:rPr>
  </w:style>
  <w:style w:type="character" w:styleId="DamodificareEG">
    <w:name w:val="Da modificare EG"/>
    <w:basedOn w:val="DefaultParagraphFont"/>
    <w:qFormat/>
    <w:rPr>
      <w:color w:val="0000FF"/>
    </w:rPr>
  </w:style>
  <w:style w:type="character" w:styleId="Puntiuser">
    <w:name w:val="Punti (user)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>
      <w:vertAlign w:val="superscript"/>
    </w:rPr>
  </w:style>
  <w:style w:type="character" w:styleId="Caratterinotaapidipaginauser">
    <w:name w:val="Caratteri nota a piè di pagina (user)"/>
    <w:qFormat/>
    <w:rPr>
      <w:vertAlign w:val="superscript"/>
    </w:rPr>
  </w:style>
  <w:style w:type="character" w:styleId="Caratterinotaapidipagina">
    <w:name w:val="Caratteri nota a piè di pagina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Caratterinotadichiusurauser">
    <w:name w:val="Caratteri nota di chiusura (user)"/>
    <w:qFormat/>
    <w:rPr>
      <w:vertAlign w:val="superscript"/>
    </w:rPr>
  </w:style>
  <w:style w:type="character" w:styleId="Caratterinotadichiusura">
    <w:name w:val="Caratteri nota di chiusura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  <w:jc w:val="both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ohit Devanagari"/>
    </w:rPr>
  </w:style>
  <w:style w:type="paragraph" w:styleId="Contenutotabellauser">
    <w:name w:val="Contenuto tabella (user)"/>
    <w:basedOn w:val="Normal"/>
    <w:qFormat/>
    <w:pPr>
      <w:widowControl w:val="false"/>
      <w:suppressLineNumbers/>
    </w:pPr>
    <w:rPr/>
  </w:style>
  <w:style w:type="paragraph" w:styleId="Titolotabellauser">
    <w:name w:val="Titolo tabella (user)"/>
    <w:basedOn w:val="Contenutotabellauser"/>
    <w:qFormat/>
    <w:pPr>
      <w:suppressLineNumbers/>
      <w:jc w:val="center"/>
    </w:pPr>
    <w:rPr>
      <w:b/>
      <w:bCs/>
    </w:rPr>
  </w:style>
  <w:style w:type="paragraph" w:styleId="Intestazioneepidipaginauser">
    <w:name w:val="Intestazione e piè di pagina (user)"/>
    <w:basedOn w:val="Normal"/>
    <w:qFormat/>
    <w:pPr/>
    <w:rPr/>
  </w:style>
  <w:style w:type="paragraph" w:styleId="Intestazioneepidipagina">
    <w:name w:val="Intestazione e piè di pagina"/>
    <w:basedOn w:val="Normal"/>
    <w:qFormat/>
    <w:pPr/>
    <w:rPr/>
  </w:style>
  <w:style w:type="paragraph" w:styleId="Footer">
    <w:name w:val="footer"/>
    <w:basedOn w:val="Intestazioneepidipaginauser"/>
    <w:pPr>
      <w:suppressLineNumbers/>
      <w:jc w:val="center"/>
    </w:pPr>
    <w:rPr/>
  </w:style>
  <w:style w:type="paragraph" w:styleId="Pidipaginaasinistrauser">
    <w:name w:val="Piè di pagina a sinistra (user)"/>
    <w:basedOn w:val="Footer"/>
    <w:qFormat/>
    <w:pPr>
      <w:suppressLineNumbers/>
      <w:jc w:val="left"/>
    </w:pPr>
    <w:rPr/>
  </w:style>
  <w:style w:type="paragraph" w:styleId="Pidipaginaadestrauser">
    <w:name w:val="Piè di pagina a destra (user)"/>
    <w:basedOn w:val="Footer"/>
    <w:qFormat/>
    <w:pPr>
      <w:suppressLineNumbers/>
      <w:tabs>
        <w:tab w:val="clear" w:pos="709"/>
        <w:tab w:val="center" w:pos="4819" w:leader="none"/>
        <w:tab w:val="right" w:pos="9638" w:leader="none"/>
      </w:tabs>
      <w:jc w:val="right"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912</TotalTime>
  <Application>LibreOffice/26.2.0.3$Linux_X86_64 LibreOffice_project/afbbd0df0edb6d40b450b0337ac646b0913a760c</Application>
  <AppVersion>15.0000</AppVersion>
  <Pages>5</Pages>
  <Words>1193</Words>
  <Characters>7125</Characters>
  <CharactersWithSpaces>8249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2021-02-25T12:01:21Z</dcterms:created>
  <dc:creator/>
  <dc:description/>
  <dc:language>it-IT</dc:language>
  <cp:lastModifiedBy>Emanuele Gissi</cp:lastModifiedBy>
  <dcterms:modified xsi:type="dcterms:W3CDTF">2026-02-21T17:55:09Z</dcterms:modified>
  <cp:revision>100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