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MERGEFIELD $TRIBUNALE </w:instrText>
            </w:r>
            <w:r>
              <w:rPr/>
              <w:fldChar w:fldCharType="separate"/>
            </w:r>
            <w:r>
              <w:rPr/>
              <w:t>&lt;$TRIBUNALE&gt;</w:t>
            </w:r>
            <w:r>
              <w:rPr/>
              <w:fldChar w:fldCharType="end"/>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MERGEFIELD $RAGIONE_SOCIALE </w:instrText>
            </w:r>
            <w:r>
              <w:rPr/>
              <w:fldChar w:fldCharType="separate"/>
            </w:r>
            <w:r>
              <w:rPr/>
              <w:t>&lt;$RAGIONE_SOCIALE&gt;</w:t>
            </w:r>
            <w:r>
              <w:rPr/>
              <w:fldChar w:fldCharType="end"/>
            </w:r>
            <w:r>
              <w:rPr/>
              <w:t xml:space="preserve"> sita in </w:t>
            </w:r>
            <w:r>
              <w:rPr/>
              <w:fldChar w:fldCharType="begin"/>
            </w:r>
            <w:r>
              <w:rPr/>
              <w:instrText>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MERGEFIELD $CONTRAVVENTORE </w:instrText>
            </w:r>
            <w:r>
              <w:rPr/>
              <w:fldChar w:fldCharType="separate"/>
            </w:r>
            <w:r>
              <w:rPr/>
              <w:t>&lt;$CONTRAVVENTORE&gt;</w:t>
            </w:r>
            <w:r>
              <w:rPr/>
              <w:fldChar w:fldCharType="end"/>
            </w:r>
          </w:p>
        </w:tc>
      </w:tr>
    </w:tbl>
    <w:p>
      <w:pPr>
        <w:pStyle w:val="TextBody"/>
        <w:rPr/>
      </w:pPr>
      <w:r>
        <w:rPr/>
      </w:r>
    </w:p>
    <w:p>
      <w:pPr>
        <w:pStyle w:val="Heading3"/>
        <w:numPr>
          <w:ilvl w:val="2"/>
          <w:numId w:val="1"/>
        </w:numPr>
        <w:rPr/>
      </w:pPr>
      <w:r>
        <w:rPr/>
        <w:t>Contravvenzioni</w:t>
      </w:r>
    </w:p>
    <w:p>
      <w:pPr>
        <w:pStyle w:val="TextBody"/>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w:t>
            </w:r>
            <w:r>
              <w:rPr/>
              <w:t>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Contravvenzioni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$ELENCO_CONTRAVVENZIONI.Codice </w:instrText>
            </w:r>
            <w:r>
              <w:rPr/>
              <w:fldChar w:fldCharType="separate"/>
            </w:r>
            <w:r>
              <w:rPr/>
              <w:t>&lt;$ELENCO_CONTRAVVENZIONI.Codice&gt;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$ELENCO_CONTRAVVENZIONI.Descrizione </w:instrText>
            </w:r>
            <w:r>
              <w:rPr/>
              <w:fldChar w:fldCharType="separate"/>
            </w:r>
            <w:r>
              <w:rPr/>
              <w:t>&lt;$ELENCO_CONTRAVVENZIONI.Descrizione&gt;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TextBody"/>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MERGEFIELD $ELENCO_TERMINI_ADEMPIMENTI.Descrizione </w:instrText>
            </w:r>
            <w:r>
              <w:rPr/>
              <w:fldChar w:fldCharType="separate"/>
            </w:r>
            <w:r>
              <w:rPr/>
              <w:t>&lt;$ELENCO_TERMINI_ADEMPIMENTI.Descrizione&gt;</w:t>
            </w:r>
            <w:r>
              <w:rPr/>
              <w:fldChar w:fldCharType="end"/>
            </w:r>
            <w:r>
              <w:rPr/>
              <w:t> </w:t>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t>Prescrizioni urgenti</w:t>
      </w:r>
    </w:p>
    <w:p>
      <w:pPr>
        <w:pStyle w:val="TextBody"/>
        <w:keepNext w:val="true"/>
        <w:rPr>
          <w:lang w:val="it-IT"/>
        </w:rPr>
      </w:pPr>
      <w:r>
        <w:rPr>
          <w:rFonts w:eastAsia="Noto Serif CJK SC" w:cs="Lohit Devanagari"/>
          <w:color w:val="auto"/>
          <w:kern w:val="2"/>
          <w:sz w:val="24"/>
          <w:szCs w:val="24"/>
          <w:lang w:val="it-IT" w:eastAsia="zh-CN" w:bidi="hi-IN"/>
        </w:rPr>
        <w:t>Impartiscono inoltre le seguenti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$ELENCO_MISURE_URGENTI.Codice </w:instrText>
            </w:r>
            <w:r>
              <w:rPr/>
              <w:fldChar w:fldCharType="separate"/>
            </w:r>
            <w:r>
              <w:rPr/>
              <w:t>&lt;$ELENCO_MISURE_URGENTI.Codice&gt;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$ELENCO_MISURE_URGENTI.Descrizione </w:instrText>
            </w:r>
            <w:r>
              <w:rPr/>
              <w:fldChar w:fldCharType="separate"/>
            </w:r>
            <w:r>
              <w:rPr/>
              <w:t>&lt;$ELENCO_MISURE_URGENTI.Descrizione&gt;</w:t>
            </w:r>
            <w:r>
              <w:rPr/>
              <w:fldChar w:fldCharType="end"/>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w:t>
      </w:r>
    </w:p>
    <w:p>
      <w:pPr>
        <w:pStyle w:val="TextBody"/>
        <w:rPr/>
      </w:pPr>
      <w:r>
        <w:rPr>
          <w:rStyle w:val="DamodificareEG"/>
          <w:rFonts w:eastAsia="Noto Serif CJK SC" w:cs="Lohit Devanagari"/>
          <w:kern w:val="2"/>
          <w:sz w:val="24"/>
          <w:szCs w:val="24"/>
          <w:lang w:val="it-IT" w:eastAsia="zh-CN" w:bidi="hi-IN"/>
        </w:rPr>
        <w:t>In qualsiasi momento questo Comando potrà effettuare verifiche del rispetto della presente diffida.</w:t>
      </w:r>
    </w:p>
    <w:p>
      <w:pPr>
        <w:pStyle w:val="Heading3"/>
        <w:numPr>
          <w:ilvl w:val="2"/>
          <w:numId w:val="1"/>
        </w:numPr>
        <w:rPr/>
      </w:pPr>
      <w:r>
        <w:rPr/>
        <w:t>Verifica dell'adempimento</w:t>
      </w:r>
    </w:p>
    <w:p>
      <w:pPr>
        <w:pStyle w:val="TextBody"/>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TextBody"/>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TextBody"/>
        <w:rPr>
          <w:b/>
          <w:b/>
          <w:bCs/>
        </w:rPr>
      </w:pPr>
      <w:r>
        <w:rPr/>
        <w:t>Allegati:</w:t>
      </w:r>
    </w:p>
    <w:p>
      <w:pPr>
        <w:pStyle w:val="TextBody"/>
        <w:rPr>
          <w:b/>
          <w:b/>
          <w:bCs/>
        </w:rPr>
      </w:pPr>
      <w:r>
        <w:rPr/>
        <w:t>verbali di sopralluogo</w:t>
      </w:r>
      <w:r>
        <w:rPr>
          <w:b/>
          <w:bCs/>
        </w:rPr>
        <w:t>.</w:t>
      </w:r>
    </w:p>
    <w:p>
      <w:pPr>
        <w:pStyle w:val="TextBody"/>
        <w:rPr>
          <w:b/>
          <w:b/>
          <w:bCs/>
        </w:rPr>
      </w:pPr>
      <w:r>
        <w:rPr/>
        <w:t>verbale di identificazione</w:t>
      </w:r>
      <w:r>
        <w:rPr>
          <w:b/>
          <w:bCs/>
        </w:rPr>
        <w:t>.</w:t>
      </w:r>
    </w:p>
    <w:p>
      <w:pPr>
        <w:pStyle w:val="TextBody"/>
        <w:rPr>
          <w:b/>
          <w:b/>
          <w:bCs/>
        </w:rPr>
      </w:pPr>
      <w:r>
        <w:rPr/>
        <w:t>visura camerale</w:t>
      </w:r>
      <w:r>
        <w:rPr>
          <w:b/>
          <w:bCs/>
        </w:rPr>
        <w:t>.</w:t>
      </w:r>
    </w:p>
    <w:p>
      <w:pPr>
        <w:pStyle w:val="TextBody"/>
        <w:rPr/>
      </w:pPr>
      <w:r>
        <w:rPr/>
        <w:t>deleghe di funzioni.</w:t>
      </w:r>
    </w:p>
    <w:p>
      <w:pPr>
        <w:pStyle w:val="TextBody"/>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Pagina </w:t>
    </w:r>
    <w:r>
      <w:rPr/>
      <w:fldChar w:fldCharType="begin"/>
    </w:r>
    <w:r>
      <w:rPr/>
      <w:instrText> PAGE </w:instrText>
    </w:r>
    <w:r>
      <w:rPr/>
      <w:fldChar w:fldCharType="separate"/>
    </w:r>
    <w:r>
      <w:rPr/>
      <w:t>3</w:t>
    </w:r>
    <w:r>
      <w:rPr/>
      <w:fldChar w:fldCharType="end"/>
    </w:r>
    <w:r>
      <w:rPr/>
      <w:t xml:space="preserve"> di </w:t>
    </w:r>
    <w:r>
      <w:rPr/>
      <w:fldChar w:fldCharType="begin"/>
    </w:r>
    <w:r>
      <w:rPr/>
      <w:instrText> NUMPAGES </w:instrText>
    </w:r>
    <w:r>
      <w:rPr/>
      <w:fldChar w:fldCharType="separate"/>
    </w:r>
    <w:r>
      <w:rPr/>
      <w:t>3</w:t>
    </w:r>
    <w:r>
      <w:rPr/>
      <w:fldChar w:fldCharType="end"/>
    </w:r>
  </w:p>
  <w:p>
    <w:pPr>
      <w:pStyle w:val="Footer"/>
      <w:rPr/>
    </w:pPr>
    <w:r>
      <w:rPr>
        <w:sz w:val="14"/>
        <w:szCs w:val="14"/>
      </w:rPr>
      <w:fldChar w:fldCharType="begin"/>
    </w:r>
    <w:r>
      <w:rPr>
        <w:sz w:val="14"/>
        <w:szCs w:val="14"/>
      </w:rPr>
      <w:instrText> FILENAME </w:instrText>
    </w:r>
    <w:r>
      <w:rPr>
        <w:sz w:val="14"/>
        <w:szCs w:val="14"/>
      </w:rPr>
      <w:fldChar w:fldCharType="separate"/>
    </w:r>
    <w:r>
      <w:rPr>
        <w:sz w:val="14"/>
        <w:szCs w:val="14"/>
      </w:rPr>
      <w:t>758_3PG.docx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LibreOffice/7.2.2.2$Linux_X86_64 LibreOffice_project/20$Build-2</Application>
  <AppVersion>15.0000</AppVersion>
  <Pages>3</Pages>
  <Words>543</Words>
  <Characters>3986</Characters>
  <CharactersWithSpaces>4472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2021-11-29T17:28:35Z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