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agamento dell’ammenda in ammissione diretta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, tenuto conto della loro cessata antigiuridicità, nonché della materiale impossibilità di emanazione di relativa prescrizione, si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ammetteva</w:t>
      </w:r>
      <w:r>
        <w:rPr/>
        <w:t xml:space="preserve"> direttamente il contravventore al pagamento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in sede amministrativa con nota (758-6aPG) prot. </w:t>
      </w:r>
      <w:r>
        <w:rPr/>
        <w:fldChar w:fldCharType="begin"/>
      </w:r>
      <w:r>
        <w:rPr/>
        <w:instrText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.</w:t>
      </w:r>
    </w:p>
    <w:p>
      <w:pPr>
        <w:pStyle w:val="Corpodeltesto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Si comunica che il contravventore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ricevuta di versamento.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758_7bPG.docx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LibreOffice/7.2.3.2$Linux_X86_64 LibreOffice_project/20$Build-2</Application>
  <AppVersion>15.0000</AppVersion>
  <Pages>1</Pages>
  <Words>177</Words>
  <Characters>1395</Characters>
  <CharactersWithSpaces>1539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2021-12-09T11:20:34Z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