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n°…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agamento dell’ammenda in ammissione diretta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, tenuto conto della loro cessata antigiuridicità, nonché della materiale impossibilità di emanazione di relativa prescrizione, si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ammetteva</w:t>
      </w:r>
      <w:r>
        <w:rPr/>
        <w:t xml:space="preserve"> direttamente il contravventore al pagamento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in sede amministrativa con nota (758-6aPG) prot. </w:t>
      </w:r>
      <w:r>
        <w:rPr/>
        <w:fldChar w:fldCharType="begin"/>
      </w:r>
      <w:r>
        <w:rPr/>
        <w:instrText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.</w:t>
      </w:r>
    </w:p>
    <w:p>
      <w:pPr>
        <w:pStyle w:val="Corpodeltesto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Si comunica che il contravventore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758_7bPG.docx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LibreOffice/7.2.5.2.0$Linux_X86_64 LibreOffice_project/20$Build-2</Application>
  <AppVersion>15.0000</AppVersion>
  <Pages>1</Pages>
  <Words>179</Words>
  <Characters>1402</Characters>
  <CharactersWithSpaces>1547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2022-01-20T15:25:21Z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