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  <w:r>
        <w:rPr/>
        <w:commentReference w:id="0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3971"/>
        <w:gridCol w:w="397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3-10-16T08:37:33Z" w:initials="">
    <w:p>
      <w:pPr>
        <w:kinsoku w:val="true"/>
        <w:overflowPunct w:val="tru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eastAsia="Noto Serif CJK SC" w:ascii="Liberation Serif" w:hAnsi="Liberation Serif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it-IT" w:bidi="hi-IN" w:eastAsia="zh-CN"/>
        </w:rPr>
        <w:t>Se contravvenzione art. 20 DLgs 139/06, allora gli importi devono essere aggiornati a mano.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LibreOffice/7.6.2.1$Linux_X86_64 LibreOffice_project/56f7684011345957bbf33a7ee678afaf4d2ba333</Application>
  <AppVersion>15.0000</AppVersion>
  <Pages>1</Pages>
  <Words>169</Words>
  <Characters>1427</Characters>
  <CharactersWithSpaces>1561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2023-10-16T08:37:38Z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