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>mancanza o irregolarità della copia del documento d’identità del richiedente;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1"/>
      <w:bookmarkStart w:id="3" w:name="Bookmark_Copy_1"/>
      <w:bookmarkEnd w:id="3"/>
      <w:r>
        <w:rPr/>
      </w:r>
      <w:r>
        <w:rPr/>
        <w:fldChar w:fldCharType="end"/>
      </w:r>
      <w:bookmarkStart w:id="4" w:name="Bookmark_Copy_1"/>
      <w:bookmarkEnd w:id="4"/>
      <w:r>
        <w:rPr/>
        <w:t xml:space="preserve"> </w:t>
      </w:r>
      <w:r>
        <w:rPr>
          <w:rStyle w:val="DamodificareEG"/>
        </w:rPr>
        <w:t>mancanza o irregolarità dell’attestazione del pagamento dell’imposta di bollo;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" w:name="Bookmark_Copy_2"/>
      <w:bookmarkStart w:id="6" w:name="Bookmark_Copy_2"/>
      <w:bookmarkEnd w:id="6"/>
      <w:r>
        <w:rPr/>
      </w:r>
      <w:r>
        <w:rPr/>
        <w:fldChar w:fldCharType="end"/>
      </w:r>
      <w:bookmarkStart w:id="7" w:name="Bookmark_Copy_2"/>
      <w:bookmarkEnd w:id="7"/>
      <w:r>
        <w:rPr/>
        <w:t xml:space="preserve"> </w:t>
      </w:r>
      <w:r>
        <w:rPr>
          <w:rStyle w:val="DamodificareEG"/>
        </w:rPr>
        <w:t>mancanza o irregolarità della delega dell'interessato e copia del documento di identità;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" w:name="Bookmark_Copy_3"/>
      <w:bookmarkStart w:id="9" w:name="Bookmark_Copy_3"/>
      <w:bookmarkEnd w:id="9"/>
      <w:r>
        <w:rPr/>
      </w:r>
      <w:r>
        <w:rPr/>
        <w:fldChar w:fldCharType="end"/>
      </w:r>
      <w:bookmarkStart w:id="10" w:name="Bookmark_Copy_3"/>
      <w:bookmarkEnd w:id="10"/>
      <w:r>
        <w:rPr/>
        <w:t xml:space="preserve"> </w:t>
      </w:r>
      <w:r>
        <w:rPr>
          <w:rStyle w:val="DamodificareEG"/>
          <w:lang w:val="it-IT"/>
        </w:rPr>
        <w:t>mancanza o irregolarità della documentazione che attesti l'interesse diretto, concreto e attuale che corrisponde ad una situazione giuridicamente tutelata e collegata agli atti richiesti. Per comprovare eventuali stati, qualità, fatti personali è possibile ricorrere all'autocertificazione secondo la vigente normativa;</w:t>
      </w:r>
    </w:p>
    <w:p>
      <w:pPr>
        <w:pStyle w:val="BodyText"/>
        <w:rPr/>
      </w:pPr>
      <w:r>
        <w:fldChar w:fldCharType="begin">
          <w:ffData>
            <w:name w:val="Bookmark Copy 2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" w:name="Bookmark_Copy_2_Copy_1"/>
      <w:bookmarkStart w:id="12" w:name="Bookmark_Copy_2_Copy_1"/>
      <w:bookmarkEnd w:id="12"/>
      <w:r>
        <w:rPr/>
      </w:r>
      <w:r>
        <w:rPr/>
        <w:fldChar w:fldCharType="end"/>
      </w:r>
      <w:bookmarkStart w:id="13" w:name="Bookmark_Copy_2_Copy_1"/>
      <w:bookmarkEnd w:id="13"/>
      <w:r>
        <w:rPr>
          <w:rStyle w:val="DamodificareEG"/>
          <w:lang w:val="it-IT"/>
        </w:rPr>
        <w:t xml:space="preserve"> i documenti digitali allegati risultano illeggibili per eccessiva dimensione, errato formato dei dati o </w:t>
      </w:r>
      <w:r>
        <w:rPr>
          <w:rStyle w:val="DamodificareEG"/>
          <w:lang w:val="it-IT"/>
        </w:rPr>
        <w:t xml:space="preserve">per </w:t>
      </w:r>
      <w:r>
        <w:rPr>
          <w:rStyle w:val="DamodificareEG"/>
          <w:lang w:val="it-IT"/>
        </w:rPr>
        <w:t>modalità d’invio.</w:t>
      </w:r>
    </w:p>
    <w:p>
      <w:pPr>
        <w:pStyle w:val="BodyText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BodyText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AA10_REG.docx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LibreOffice/7.6.2.1$Linux_X86_64 LibreOffice_project/56f7684011345957bbf33a7ee678afaf4d2ba333</Application>
  <AppVersion>15.0000</AppVersion>
  <Pages>2</Pages>
  <Words>226</Words>
  <Characters>1615</Characters>
  <CharactersWithSpaces>1810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2023-11-13T11:31:15Z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