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Richiedente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…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Accesso agli atti non consentito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 xml:space="preserve">questo Comando </w:t>
      </w:r>
      <w:r>
        <w:rPr>
          <w:b/>
          <w:bCs/>
          <w:lang w:val="it"/>
        </w:rPr>
        <w:t xml:space="preserve">non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" w:eastAsia="zh-CN" w:bidi="hi-IN"/>
        </w:rPr>
        <w:t>può consentire l’accesso agli atti richiesto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 </w:t>
      </w:r>
      <w:r>
        <w:rPr>
          <w:lang w:val="it"/>
        </w:rPr>
        <w:t xml:space="preserve">per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le seguenti motivazioni</w:t>
      </w:r>
      <w:r>
        <w:rPr>
          <w:lang w:val="it"/>
        </w:rPr>
        <w:t>:</w:t>
      </w:r>
    </w:p>
    <w:p>
      <w:pPr>
        <w:pStyle w:val="Corpodeltesto"/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descrivere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motivazione]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AA90_CON.docx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238</TotalTime>
  <Application>LibreOffice/7.1.4.2$Linux_X86_64 LibreOffice_project/10$Build-2</Application>
  <AppVersion>15.0000</AppVersion>
  <Pages>1</Pages>
  <Words>99</Words>
  <Characters>748</Characters>
  <CharactersWithSpaces>824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2021-07-02T12:31:40Z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