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alla convocazione in oggetto,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inviata.</w:t>
      </w:r>
    </w:p>
    <w:p>
      <w:pPr>
        <w:pStyle w:val="BodyText"/>
        <w:rPr>
          <w:lang w:val="it-IT"/>
        </w:rPr>
      </w:pPr>
      <w:r>
        <w:rPr>
          <w:lang w:val="it-IT"/>
        </w:rPr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 di categoria B o C]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Non è dichiarato quali siano le attività soggette ai controlli dei vigili del fuoco di categoria B o C secondo DPR 151/11 ricomprese nella progettazione.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Qualora siano presenti attività soggette ai controlli dei vigili del fuoco di categoria B o C, è necessario che il responsabile dell’attività provveda a prese</w:t>
      </w:r>
      <w:r>
        <w:rPr>
          <w:rStyle w:val="DamodificareEG"/>
          <w:lang w:val="it-IT" w:eastAsia="zh-CN" w:bidi="hi-IN"/>
        </w:rPr>
        <w:t>ntare istanza di valutazione del progetto antincendio in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tempo utile per consentirne l’esame preventivo, ai sensi dell’art. 3 del DPR 151/11.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C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ome previsto agli articoli 14 e seguenti della legge 241/90,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i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n mancanza di quanto sopra, questo Comando esprime già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motivato dissenso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conferenza dei servizi in relazione al vincolo derivante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dalla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disposizione normativa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citata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.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Negli altri casi, questo Comando non è tenuto ad esprimere il parere di cui al DPR 151/11.</w:t>
      </w:r>
    </w:p>
    <w:p>
      <w:pPr>
        <w:pStyle w:val="BodyText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dichiarate attività soggette di categoria B o C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Poiché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BodyText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è necessario che il responsabile dell’attività provveda a pr</w:t>
      </w:r>
      <w:r>
        <w:rPr>
          <w:rStyle w:val="DamodificareEG"/>
          <w:lang w:val="it-IT" w:eastAsia="zh-CN" w:bidi="hi-IN"/>
        </w:rPr>
        <w:t>esentare istanza di valutazione del progetto antincendio in tempo utile per co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nsentirne l’esame preventivo, ai sensi dell’art. 3 del DPR 151/11.</w:t>
      </w:r>
    </w:p>
    <w:p>
      <w:pPr>
        <w:pStyle w:val="BodyText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C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ome previsto agli articoli 14 e seguenti della legge 241/90,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i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n mancanza di quanto sopra, questo Comando esprime già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motivato dissenso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conferenza dei servizi in relazione al vincolo derivante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dalla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disposizione normativa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citata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.</w:t>
      </w:r>
    </w:p>
    <w:p>
      <w:pPr>
        <w:pStyle w:val="BodyText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BodyText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</TotalTime>
  <Application>LibreOffice/7.6.2.1$Linux_X86_64 LibreOffice_project/56f7684011345957bbf33a7ee678afaf4d2ba333</Application>
  <AppVersion>15.0000</AppVersion>
  <Pages>2</Pages>
  <Words>332</Words>
  <Characters>2094</Characters>
  <CharactersWithSpaces>2390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2023-10-24T17:42:22Z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